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678D">
      <w:pPr>
        <w:spacing w:after="0"/>
        <w:rPr>
          <w:sz w:val="16"/>
          <w:szCs w:val="16"/>
        </w:rPr>
      </w:pPr>
    </w:p>
    <w:p w14:paraId="0B4BF14E">
      <w:pPr>
        <w:spacing w:after="0"/>
        <w:rPr>
          <w:sz w:val="16"/>
          <w:szCs w:val="16"/>
        </w:rPr>
      </w:pPr>
    </w:p>
    <w:p w14:paraId="3544D279">
      <w:pPr>
        <w:spacing w:after="0"/>
        <w:jc w:val="center"/>
        <w:rPr>
          <w:b/>
          <w:sz w:val="72"/>
          <w:szCs w:val="72"/>
        </w:rPr>
      </w:pPr>
    </w:p>
    <w:p w14:paraId="2FEBC934">
      <w:pPr>
        <w:spacing w:after="0"/>
        <w:jc w:val="center"/>
        <w:rPr>
          <w:b/>
          <w:color w:val="0070C0"/>
          <w:sz w:val="72"/>
          <w:szCs w:val="72"/>
        </w:rPr>
      </w:pPr>
      <w:r>
        <w:rPr>
          <w:b/>
          <w:color w:val="0070C0"/>
          <w:sz w:val="72"/>
          <w:szCs w:val="72"/>
        </w:rPr>
        <w:t>PROGRAMA ANUAL DE</w:t>
      </w:r>
    </w:p>
    <w:p w14:paraId="15FF3DA5">
      <w:pPr>
        <w:spacing w:after="0"/>
        <w:jc w:val="center"/>
        <w:rPr>
          <w:b/>
          <w:color w:val="0070C0"/>
          <w:sz w:val="72"/>
          <w:szCs w:val="72"/>
        </w:rPr>
      </w:pPr>
      <w:r>
        <w:rPr>
          <w:b/>
          <w:color w:val="0070C0"/>
          <w:sz w:val="72"/>
          <w:szCs w:val="72"/>
        </w:rPr>
        <w:t>DESARROLLO ARCHIVISTICO</w:t>
      </w:r>
    </w:p>
    <w:p w14:paraId="31B25725">
      <w:pPr>
        <w:spacing w:after="0"/>
        <w:jc w:val="center"/>
        <w:rPr>
          <w:b/>
          <w:color w:val="0070C0"/>
          <w:sz w:val="72"/>
          <w:szCs w:val="72"/>
        </w:rPr>
      </w:pPr>
      <w:r>
        <w:rPr>
          <w:b/>
          <w:color w:val="0070C0"/>
          <w:sz w:val="72"/>
          <w:szCs w:val="72"/>
        </w:rPr>
        <w:t>COMITÉ MUNICIPAL DE AGUA POTABLE Y ALCANTARILLADO DE SALAMANCA GUANAJUATO</w:t>
      </w:r>
    </w:p>
    <w:p w14:paraId="5D5DA4A7">
      <w:pPr>
        <w:spacing w:after="0"/>
        <w:jc w:val="center"/>
        <w:rPr>
          <w:b/>
          <w:color w:val="0070C0"/>
          <w:sz w:val="72"/>
          <w:szCs w:val="72"/>
        </w:rPr>
      </w:pPr>
      <w:r>
        <w:rPr>
          <w:b/>
          <w:color w:val="0070C0"/>
          <w:sz w:val="72"/>
          <w:szCs w:val="72"/>
        </w:rPr>
        <w:t>(PADA 202</w:t>
      </w:r>
      <w:r>
        <w:rPr>
          <w:rFonts w:hint="default"/>
          <w:b/>
          <w:color w:val="0070C0"/>
          <w:sz w:val="72"/>
          <w:szCs w:val="72"/>
          <w:lang w:val="es-MX"/>
        </w:rPr>
        <w:t>6</w:t>
      </w:r>
      <w:r>
        <w:rPr>
          <w:b/>
          <w:color w:val="0070C0"/>
          <w:sz w:val="72"/>
          <w:szCs w:val="72"/>
        </w:rPr>
        <w:t>)</w:t>
      </w:r>
    </w:p>
    <w:p w14:paraId="44E10D4C">
      <w:pPr>
        <w:spacing w:after="0"/>
        <w:jc w:val="center"/>
        <w:rPr>
          <w:color w:val="0070C0"/>
          <w:sz w:val="56"/>
          <w:szCs w:val="56"/>
        </w:rPr>
      </w:pPr>
    </w:p>
    <w:p w14:paraId="2F6055BC">
      <w:pPr>
        <w:spacing w:after="0"/>
        <w:jc w:val="right"/>
        <w:rPr>
          <w:sz w:val="32"/>
          <w:szCs w:val="32"/>
          <w:u w:val="single"/>
        </w:rPr>
      </w:pPr>
    </w:p>
    <w:p w14:paraId="5FC686DC">
      <w:pPr>
        <w:spacing w:after="0"/>
        <w:jc w:val="right"/>
        <w:rPr>
          <w:sz w:val="32"/>
          <w:szCs w:val="32"/>
          <w:u w:val="single"/>
        </w:rPr>
      </w:pPr>
    </w:p>
    <w:p w14:paraId="10DB556E">
      <w:pPr>
        <w:spacing w:after="0"/>
        <w:jc w:val="right"/>
        <w:rPr>
          <w:sz w:val="32"/>
          <w:szCs w:val="32"/>
          <w:u w:val="single"/>
        </w:rPr>
      </w:pPr>
    </w:p>
    <w:p w14:paraId="3EB23EB2">
      <w:pPr>
        <w:spacing w:after="0"/>
        <w:jc w:val="right"/>
        <w:rPr>
          <w:sz w:val="32"/>
          <w:szCs w:val="32"/>
          <w:u w:val="single"/>
        </w:rPr>
      </w:pPr>
    </w:p>
    <w:p w14:paraId="5652DD5B">
      <w:pPr>
        <w:spacing w:after="0"/>
        <w:jc w:val="right"/>
        <w:rPr>
          <w:sz w:val="32"/>
          <w:szCs w:val="32"/>
          <w:u w:val="single"/>
        </w:rPr>
      </w:pPr>
    </w:p>
    <w:p w14:paraId="406EAE43">
      <w:pPr>
        <w:spacing w:after="0"/>
        <w:jc w:val="right"/>
        <w:rPr>
          <w:sz w:val="32"/>
          <w:szCs w:val="32"/>
          <w:u w:val="single"/>
        </w:rPr>
      </w:pPr>
    </w:p>
    <w:p w14:paraId="44E493BF">
      <w:pPr>
        <w:spacing w:after="0"/>
        <w:jc w:val="right"/>
        <w:rPr>
          <w:sz w:val="32"/>
          <w:szCs w:val="32"/>
          <w:u w:val="single"/>
        </w:rPr>
      </w:pPr>
    </w:p>
    <w:p w14:paraId="31CA0653">
      <w:pPr>
        <w:spacing w:after="0"/>
        <w:rPr>
          <w:sz w:val="16"/>
          <w:szCs w:val="16"/>
          <w:u w:val="single"/>
        </w:rPr>
      </w:pPr>
    </w:p>
    <w:p w14:paraId="17927996">
      <w:pPr>
        <w:spacing w:after="0"/>
        <w:rPr>
          <w:sz w:val="16"/>
          <w:szCs w:val="16"/>
        </w:rPr>
      </w:pPr>
    </w:p>
    <w:p w14:paraId="5C8EBA58">
      <w:pPr>
        <w:spacing w:after="0"/>
        <w:jc w:val="right"/>
        <w:rPr>
          <w:b/>
          <w:bCs/>
          <w:sz w:val="32"/>
          <w:szCs w:val="32"/>
          <w:u w:val="single"/>
        </w:rPr>
      </w:pPr>
      <w:r>
        <w:rPr>
          <w:b/>
          <w:bCs/>
          <w:sz w:val="32"/>
          <w:szCs w:val="32"/>
          <w:u w:val="single"/>
        </w:rPr>
        <w:t>COORDIANCION DE ARCHIVOS</w:t>
      </w:r>
    </w:p>
    <w:p w14:paraId="3F5929DA">
      <w:pPr>
        <w:spacing w:after="0"/>
        <w:rPr>
          <w:b/>
          <w:bCs/>
          <w:sz w:val="16"/>
          <w:szCs w:val="16"/>
        </w:rPr>
      </w:pPr>
      <w:bookmarkStart w:id="0" w:name="_GoBack"/>
      <w:bookmarkEnd w:id="0"/>
    </w:p>
    <w:p w14:paraId="0F5BDBAE">
      <w:pPr>
        <w:spacing w:after="0"/>
        <w:rPr>
          <w:sz w:val="16"/>
          <w:szCs w:val="16"/>
        </w:rPr>
      </w:pPr>
    </w:p>
    <w:p w14:paraId="1DADB0DE">
      <w:pPr>
        <w:spacing w:after="0"/>
        <w:rPr>
          <w:sz w:val="16"/>
          <w:szCs w:val="16"/>
        </w:rPr>
      </w:pPr>
    </w:p>
    <w:p w14:paraId="02114AF9">
      <w:pPr>
        <w:spacing w:after="0"/>
        <w:rPr>
          <w:sz w:val="16"/>
          <w:szCs w:val="16"/>
        </w:rPr>
      </w:pPr>
    </w:p>
    <w:p w14:paraId="0F821472">
      <w:pPr>
        <w:spacing w:after="0"/>
        <w:rPr>
          <w:sz w:val="16"/>
          <w:szCs w:val="16"/>
        </w:rPr>
      </w:pPr>
    </w:p>
    <w:p w14:paraId="48F5BC3E">
      <w:pPr>
        <w:jc w:val="center"/>
        <w:rPr>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CONTENIDO</w:t>
      </w:r>
    </w:p>
    <w:p w14:paraId="03689399">
      <w:r>
        <w:rPr>
          <w:sz w:val="32"/>
          <w:szCs w:val="32"/>
        </w:rPr>
        <w:t xml:space="preserve">   </w:t>
      </w:r>
      <w:r>
        <w:t>Introducción………………………………………………………………………………………………………………………………….03</w:t>
      </w:r>
    </w:p>
    <w:p w14:paraId="16A70BBF"/>
    <w:p w14:paraId="5EAEDE05">
      <w:r>
        <w:t xml:space="preserve">1.- </w:t>
      </w:r>
      <w:r>
        <w:rPr>
          <w:b/>
        </w:rPr>
        <w:t>Marco de Referencia</w:t>
      </w:r>
      <w:r>
        <w:t>…………………………………………………………………………………………………………………….03</w:t>
      </w:r>
    </w:p>
    <w:p w14:paraId="450D5516"/>
    <w:p w14:paraId="3FA7A056">
      <w:r>
        <w:t xml:space="preserve">2.- </w:t>
      </w:r>
      <w:r>
        <w:rPr>
          <w:b/>
        </w:rPr>
        <w:t>Justificación</w:t>
      </w:r>
      <w:r>
        <w:t>………………………………………………………………………………………………………………………………….03</w:t>
      </w:r>
    </w:p>
    <w:p w14:paraId="7BF58BBC"/>
    <w:p w14:paraId="7305B94B">
      <w:r>
        <w:t xml:space="preserve">3.- </w:t>
      </w:r>
      <w:r>
        <w:rPr>
          <w:b/>
        </w:rPr>
        <w:t>Objetivos</w:t>
      </w:r>
      <w:r>
        <w:t>……………………………………………………………………………………………………………………………………..04</w:t>
      </w:r>
    </w:p>
    <w:p w14:paraId="67ACCC06">
      <w:r>
        <w:t xml:space="preserve">  3.1</w:t>
      </w:r>
      <w:r>
        <w:rPr>
          <w:b/>
        </w:rPr>
        <w:t xml:space="preserve">. </w:t>
      </w:r>
      <w:r>
        <w:t>Objetivo General………………………………………………………………………………………………………………………04</w:t>
      </w:r>
    </w:p>
    <w:p w14:paraId="7B528173">
      <w:r>
        <w:t xml:space="preserve">  3.2. Objetivos específicos………………………………………………………………………………………………………………..04</w:t>
      </w:r>
    </w:p>
    <w:p w14:paraId="7962BC58"/>
    <w:p w14:paraId="66AC8A15">
      <w:r>
        <w:t>4</w:t>
      </w:r>
      <w:r>
        <w:rPr>
          <w:b/>
        </w:rPr>
        <w:t>.- Planeación</w:t>
      </w:r>
      <w:r>
        <w:t>……………………………………………………………………………………………………………………………………05</w:t>
      </w:r>
    </w:p>
    <w:p w14:paraId="28D9BDD2">
      <w:r>
        <w:t xml:space="preserve">   4.1. Alcance…………………………………………………………………………………………………………………………………….08</w:t>
      </w:r>
    </w:p>
    <w:p w14:paraId="7F43C41A">
      <w:r>
        <w:t xml:space="preserve">   4.2. Entregables………………………………………………………………………………………………………………………………08</w:t>
      </w:r>
    </w:p>
    <w:p w14:paraId="64CB4E92">
      <w:r>
        <w:t xml:space="preserve">   4.3. Recursos……………………………………………………………………………………………………………………………….….09</w:t>
      </w:r>
    </w:p>
    <w:p w14:paraId="7738CDD8">
      <w:r>
        <w:t xml:space="preserve">    4.4. Cronograma de actividades……………………………………………………………………………………………………..10</w:t>
      </w:r>
    </w:p>
    <w:p w14:paraId="638ED52D">
      <w:r>
        <w:t xml:space="preserve">    4.5. costos……………………………………………………………………………………………………………………………………...11</w:t>
      </w:r>
    </w:p>
    <w:p w14:paraId="04F40A9D"/>
    <w:p w14:paraId="7211B619">
      <w:r>
        <w:t>5</w:t>
      </w:r>
      <w:r>
        <w:rPr>
          <w:b/>
        </w:rPr>
        <w:t>.- Comunicaciones</w:t>
      </w:r>
      <w:r>
        <w:t>……………………………………………………………………………………………………………………………11</w:t>
      </w:r>
    </w:p>
    <w:p w14:paraId="67BCE96E">
      <w:r>
        <w:t xml:space="preserve">     5.1. Reportes de avances……………………………………………………………………………………………………………….11</w:t>
      </w:r>
    </w:p>
    <w:p w14:paraId="7562958B">
      <w:r>
        <w:t xml:space="preserve">     5.2. Control de cambios………………………………………………………………………………………………………………….11</w:t>
      </w:r>
    </w:p>
    <w:p w14:paraId="574CF634">
      <w:r>
        <w:t xml:space="preserve">     5.3. Administración de riesgos…………………………………………………………………………………………………….….11</w:t>
      </w:r>
    </w:p>
    <w:p w14:paraId="3CEFFA81"/>
    <w:p w14:paraId="6812E912"/>
    <w:p w14:paraId="316396D5"/>
    <w:p w14:paraId="024270DF">
      <w:pPr>
        <w:jc w:val="center"/>
        <w:rPr>
          <w:b/>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b/>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INTRODUCCION</w:t>
      </w:r>
    </w:p>
    <w:p w14:paraId="442C85C7">
      <w:pPr>
        <w:jc w:val="both"/>
      </w:pPr>
      <w:r>
        <w:t>El presente Programa Anual de Desarrollo Archivístico (PADA) 202</w:t>
      </w:r>
      <w:r>
        <w:rPr>
          <w:rFonts w:hint="default"/>
          <w:lang w:val="es-MX"/>
        </w:rPr>
        <w:t>6</w:t>
      </w:r>
      <w:r>
        <w:t>, es el instrumento de gestión de corto y mediano plazo que contempla las actividades, orientados a la mejor operación del Sistema Institucional de Archivos (SIA) del archivo del Comité Municipal de Agua Potable y Alcantarillado de Salamanca Guanajuato ( CMAPAS), estableciendo las estructuras normativas, técnicas y metodológicas para optimizar los procesos de  organización, administración, consulta y conservación documental en los Archivos de Tramite de las unidades generadoras de la información, y en el archivo de concentración del CMAPAS.</w:t>
      </w:r>
    </w:p>
    <w:p w14:paraId="00E55A1B">
      <w:pPr>
        <w:jc w:val="both"/>
      </w:pPr>
    </w:p>
    <w:p w14:paraId="642D3CE4">
      <w:pPr>
        <w:jc w:val="both"/>
        <w:rPr>
          <w:b/>
          <w:sz w:val="32"/>
          <w:szCs w:val="32"/>
        </w:rPr>
      </w:pPr>
      <w:r>
        <w:rPr>
          <w:b/>
          <w:sz w:val="32"/>
          <w:szCs w:val="32"/>
        </w:rPr>
        <w:t>1.- Marco de Referencia</w:t>
      </w:r>
    </w:p>
    <w:p w14:paraId="2DAC821A">
      <w:pPr>
        <w:jc w:val="both"/>
      </w:pPr>
      <w:r>
        <w:t>En cumplimiento a lo establecido por la ley de Archivos para el Estado de Guanajuato,  Capítulo V de la planeación en Materia Archivística, artículos 25,26, se establece que los Sujetos Obligados deberán garantizar la organización, administración, conservación y acceso a sus archivos mediante el programa Anual de Desarrollo Archivístico (PADA).</w:t>
      </w:r>
    </w:p>
    <w:p w14:paraId="7B99526D">
      <w:pPr>
        <w:jc w:val="both"/>
      </w:pPr>
      <w:r>
        <w:t>En este sentido, el Área Coordinadora de Archivos del Comité Municipal de Agua Potable y Alcantarillado de Salamanca Guanajuato, continúa con las acciones de gestión documental y administración de Archivos con las áreas operativas que integran al Archivo del CMAPAS.</w:t>
      </w:r>
    </w:p>
    <w:p w14:paraId="62CEB312">
      <w:pPr>
        <w:jc w:val="both"/>
      </w:pPr>
    </w:p>
    <w:p w14:paraId="0789A9BF">
      <w:pPr>
        <w:rPr>
          <w:b/>
          <w:sz w:val="32"/>
          <w:szCs w:val="32"/>
        </w:rPr>
      </w:pPr>
      <w:r>
        <w:rPr>
          <w:b/>
          <w:sz w:val="32"/>
          <w:szCs w:val="32"/>
        </w:rPr>
        <w:t>2.- Justificación</w:t>
      </w:r>
    </w:p>
    <w:p w14:paraId="35EA7C89">
      <w:pPr>
        <w:jc w:val="both"/>
      </w:pPr>
      <w:r>
        <w:t>El presente Plan Anual de Desarrollo Archivístico (PADA) 202</w:t>
      </w:r>
      <w:r>
        <w:rPr>
          <w:rFonts w:hint="default"/>
          <w:lang w:val="es-MX"/>
        </w:rPr>
        <w:t>6</w:t>
      </w:r>
      <w:r>
        <w:t>, se elabora conforme a lo establecido en el artículo 25,26 de la Ley de Archivos para el Estado de Guanajuato, así como a lo referente al plan institucional del CMAPAS el cual es impulsar el cumplimiento normativo en materia Archivística.</w:t>
      </w:r>
    </w:p>
    <w:p w14:paraId="67AAE3BE">
      <w:pPr>
        <w:jc w:val="both"/>
      </w:pPr>
      <w:r>
        <w:t>Ya que con ello se mantendría la línea de trabajo que facilite el cumplimiento de las obligaciones en materia de archivos, de tal forma que nuestros servidores públicos integrantes del CMAPAS, tengan un conocimiento homologado y actualizado sobre la gestión documental y administración de archivos, a través de asesorías constantes para poder realizar los procesos archivísticos, cuyo objetivo primordial es fortalecer el Sistema Institucional de Archivos de CMAPAS.</w:t>
      </w:r>
    </w:p>
    <w:p w14:paraId="11F5F8A7">
      <w:pPr>
        <w:jc w:val="both"/>
      </w:pPr>
    </w:p>
    <w:p w14:paraId="6D37BC79">
      <w:pPr>
        <w:jc w:val="both"/>
      </w:pPr>
    </w:p>
    <w:p w14:paraId="2DF4A482">
      <w:pPr>
        <w:jc w:val="both"/>
      </w:pPr>
    </w:p>
    <w:p w14:paraId="4082487D">
      <w:pPr>
        <w:jc w:val="both"/>
      </w:pPr>
    </w:p>
    <w:p w14:paraId="44F21B94">
      <w:pPr>
        <w:jc w:val="both"/>
      </w:pPr>
    </w:p>
    <w:p w14:paraId="24ADFFD3">
      <w:pPr>
        <w:rPr>
          <w:b/>
          <w:sz w:val="32"/>
          <w:szCs w:val="32"/>
        </w:rPr>
      </w:pPr>
    </w:p>
    <w:p w14:paraId="3FCA7204">
      <w:pPr>
        <w:rPr>
          <w:b/>
          <w:sz w:val="32"/>
          <w:szCs w:val="32"/>
        </w:rPr>
      </w:pPr>
      <w:r>
        <w:rPr>
          <w:b/>
          <w:sz w:val="32"/>
          <w:szCs w:val="32"/>
        </w:rPr>
        <w:t>3.- Objetivos:</w:t>
      </w:r>
    </w:p>
    <w:p w14:paraId="51E5D8FE">
      <w:pPr>
        <w:rPr>
          <w:b/>
          <w:sz w:val="32"/>
          <w:szCs w:val="32"/>
        </w:rPr>
      </w:pPr>
      <w:r>
        <w:rPr>
          <w:b/>
          <w:sz w:val="32"/>
          <w:szCs w:val="32"/>
        </w:rPr>
        <w:t>3.1. Objetivo General</w:t>
      </w:r>
    </w:p>
    <w:p w14:paraId="4478F0B9">
      <w:pPr>
        <w:jc w:val="both"/>
      </w:pPr>
      <w:r>
        <w:t>Establecer la correcta administración y funcionamiento del Sistema Institucional de Archivo (SIA) del Comité Municipal de Agua Potable y Alcantarillado de Salamanca Guanajuato, con base en la normatividad archivística vigente para el desarrollo y mejora continua de la gestión documental.</w:t>
      </w:r>
    </w:p>
    <w:p w14:paraId="5978E874">
      <w:pPr>
        <w:jc w:val="both"/>
        <w:rPr>
          <w:b/>
          <w:sz w:val="32"/>
          <w:szCs w:val="32"/>
        </w:rPr>
      </w:pPr>
      <w:r>
        <w:rPr>
          <w:b/>
          <w:sz w:val="32"/>
          <w:szCs w:val="32"/>
        </w:rPr>
        <w:t>3.2. Objetivos Específicos</w:t>
      </w:r>
    </w:p>
    <w:p w14:paraId="2FAC936A">
      <w:pPr>
        <w:jc w:val="both"/>
      </w:pPr>
      <w:r>
        <w:t>1.- Actualizar los instrumentos de control archivístico tales como son: EL CUADRO GENERAL DE CLASIFICACION ARCHIVISTICA, EL CATALOGO DE DISPOSICION DOCUMENTAL Y EL INVENTARIO DOCUMENTAL que propicien la organización de los documentos de archivo a través de las mesas de trabajo y elaboración de fichas técnicas de valoración documental.</w:t>
      </w:r>
    </w:p>
    <w:p w14:paraId="78043589">
      <w:pPr>
        <w:jc w:val="both"/>
      </w:pPr>
    </w:p>
    <w:p w14:paraId="3121FCD0">
      <w:pPr>
        <w:jc w:val="both"/>
      </w:pPr>
      <w:r>
        <w:t>2.- Consolidar los archivos de trámite de las Unidades Administrativas Generadoras de la Información que forman el CMAPAS, para integrar, organizar expedientes, a través de la capacitación y las asesorías continuas.</w:t>
      </w:r>
    </w:p>
    <w:p w14:paraId="53F0469A">
      <w:pPr>
        <w:jc w:val="both"/>
      </w:pPr>
    </w:p>
    <w:p w14:paraId="4F5ACEDB">
      <w:pPr>
        <w:jc w:val="both"/>
      </w:pPr>
      <w:r>
        <w:t>3.- Coordinar los procesos de disposición documental, valoración y destino final que realicen las áreas operativas; promoviendo la baja documental y transferencia primarias de expedientes, a través de inventarios documentales y notas de valoración documental.</w:t>
      </w:r>
    </w:p>
    <w:p w14:paraId="4D1CD6B3">
      <w:pPr>
        <w:jc w:val="both"/>
      </w:pPr>
    </w:p>
    <w:p w14:paraId="19DA1040">
      <w:pPr>
        <w:jc w:val="both"/>
      </w:pPr>
    </w:p>
    <w:p w14:paraId="43B30E77">
      <w:pPr>
        <w:jc w:val="both"/>
      </w:pPr>
    </w:p>
    <w:p w14:paraId="2DFBF08E">
      <w:pPr>
        <w:jc w:val="both"/>
      </w:pPr>
    </w:p>
    <w:p w14:paraId="6FC1105A">
      <w:pPr>
        <w:jc w:val="both"/>
      </w:pPr>
    </w:p>
    <w:p w14:paraId="44E872EB">
      <w:pPr>
        <w:jc w:val="both"/>
      </w:pPr>
    </w:p>
    <w:p w14:paraId="37BB5776">
      <w:pPr>
        <w:jc w:val="both"/>
      </w:pPr>
    </w:p>
    <w:p w14:paraId="6996F6D5">
      <w:pPr>
        <w:jc w:val="both"/>
      </w:pPr>
    </w:p>
    <w:p w14:paraId="65EA03E7">
      <w:pPr>
        <w:jc w:val="both"/>
      </w:pPr>
    </w:p>
    <w:p w14:paraId="0FA2B4C0">
      <w:pPr>
        <w:jc w:val="both"/>
        <w:rPr>
          <w:b/>
          <w:sz w:val="32"/>
          <w:szCs w:val="32"/>
        </w:rPr>
      </w:pPr>
      <w:r>
        <w:rPr>
          <w:b/>
          <w:sz w:val="32"/>
          <w:szCs w:val="32"/>
        </w:rPr>
        <w:t xml:space="preserve">  4.- PLANEACIÓN</w:t>
      </w:r>
    </w:p>
    <w:p w14:paraId="67FDF30F">
      <w:pPr>
        <w:jc w:val="both"/>
      </w:pPr>
      <w:r>
        <w:t>Para el alcance de los objeti</w:t>
      </w:r>
      <w:r>
        <w:rPr>
          <w:rFonts w:hint="default"/>
          <w:lang w:val="es-MX"/>
        </w:rPr>
        <w:t>v</w:t>
      </w:r>
      <w:r>
        <w:t>os específicos es primordial llevar acabo las siguientes actividades: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879"/>
        <w:gridCol w:w="1879"/>
        <w:gridCol w:w="1879"/>
        <w:gridCol w:w="1879"/>
      </w:tblGrid>
      <w:tr w14:paraId="1813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shd w:val="clear" w:color="auto" w:fill="1F4E79" w:themeFill="accent1" w:themeFillShade="80"/>
          </w:tcPr>
          <w:p w14:paraId="2FF35B28">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NIVEL</w:t>
            </w:r>
          </w:p>
        </w:tc>
        <w:tc>
          <w:tcPr>
            <w:tcW w:w="1879" w:type="dxa"/>
            <w:shd w:val="clear" w:color="auto" w:fill="1F4E79" w:themeFill="accent1" w:themeFillShade="80"/>
          </w:tcPr>
          <w:p w14:paraId="142EE24B">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OBJETIVO 1</w:t>
            </w:r>
          </w:p>
        </w:tc>
        <w:tc>
          <w:tcPr>
            <w:tcW w:w="1879" w:type="dxa"/>
            <w:shd w:val="clear" w:color="auto" w:fill="1F4E79" w:themeFill="accent1" w:themeFillShade="80"/>
          </w:tcPr>
          <w:p w14:paraId="5EB7BFC6">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META DEL OBJETIVO 1</w:t>
            </w:r>
          </w:p>
        </w:tc>
        <w:tc>
          <w:tcPr>
            <w:tcW w:w="1879" w:type="dxa"/>
            <w:shd w:val="clear" w:color="auto" w:fill="1F4E79" w:themeFill="accent1" w:themeFillShade="80"/>
          </w:tcPr>
          <w:p w14:paraId="3CB72338">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ACTIVIDAD 1</w:t>
            </w:r>
          </w:p>
        </w:tc>
        <w:tc>
          <w:tcPr>
            <w:tcW w:w="1879" w:type="dxa"/>
            <w:shd w:val="clear" w:color="auto" w:fill="1F4E79" w:themeFill="accent1" w:themeFillShade="80"/>
          </w:tcPr>
          <w:p w14:paraId="7A7D8059">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INDICADOR DE CACTIVIDAD 1</w:t>
            </w:r>
          </w:p>
        </w:tc>
      </w:tr>
      <w:tr w14:paraId="3CCD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14:paraId="338EFE98">
            <w:pPr>
              <w:jc w:val="center"/>
              <w:rPr>
                <w:b/>
              </w:rPr>
            </w:pPr>
            <w:r>
              <w:rPr>
                <w:b/>
              </w:rPr>
              <w:t>NORMATIVO</w:t>
            </w:r>
          </w:p>
        </w:tc>
        <w:tc>
          <w:tcPr>
            <w:tcW w:w="1879" w:type="dxa"/>
          </w:tcPr>
          <w:p w14:paraId="18C3C6A0">
            <w:pPr>
              <w:jc w:val="both"/>
            </w:pPr>
            <w:r>
              <w:rPr>
                <w:rFonts w:ascii="Calibri" w:hAnsi="Calibri" w:eastAsia="Times New Roman" w:cs="Times New Roman"/>
                <w:color w:val="000000"/>
                <w:lang w:eastAsia="es-MX"/>
              </w:rPr>
              <w:t>Actualizar los instrumentos de control archivístico tales como son: EL CUADRO DE CLASIFICACIÓN ARCHIVISTICA, EL CATALOGO DE DISPOSICION DOCUMENTAL Y EL INVENTARIO DOCUMENTAL, que propicien la organización de los documentos de archivo a través de las mesas de trabajo y la elaboración de las fichas técnicas de valoración documental.</w:t>
            </w:r>
          </w:p>
        </w:tc>
        <w:tc>
          <w:tcPr>
            <w:tcW w:w="1879" w:type="dxa"/>
          </w:tcPr>
          <w:p w14:paraId="39CF65FA">
            <w:pPr>
              <w:jc w:val="both"/>
            </w:pPr>
            <w:r>
              <w:rPr>
                <w:rFonts w:ascii="Calibri" w:hAnsi="Calibri" w:eastAsia="Times New Roman" w:cs="Times New Roman"/>
                <w:color w:val="000000"/>
                <w:lang w:eastAsia="es-MX"/>
              </w:rPr>
              <w:t>Actualización y formalización de los instrumentos de control archivístico.</w:t>
            </w:r>
          </w:p>
        </w:tc>
        <w:tc>
          <w:tcPr>
            <w:tcW w:w="1879" w:type="dxa"/>
          </w:tcPr>
          <w:p w14:paraId="471582DE">
            <w:pPr>
              <w:jc w:val="both"/>
            </w:pPr>
            <w:r>
              <w:rPr>
                <w:rFonts w:ascii="Calibri" w:hAnsi="Calibri" w:eastAsia="Times New Roman" w:cs="Times New Roman"/>
                <w:color w:val="000000"/>
                <w:lang w:eastAsia="es-MX"/>
              </w:rPr>
              <w:t>Mesas de trabajo y elaboración y revisión de fichas técnicas de valoración documental.</w:t>
            </w:r>
          </w:p>
        </w:tc>
        <w:tc>
          <w:tcPr>
            <w:tcW w:w="1879" w:type="dxa"/>
          </w:tcPr>
          <w:p w14:paraId="6D214B97">
            <w:pPr>
              <w:jc w:val="both"/>
            </w:pPr>
            <w:r>
              <w:rPr>
                <w:rFonts w:ascii="Calibri" w:hAnsi="Calibri" w:eastAsia="Times New Roman" w:cs="Times New Roman"/>
                <w:color w:val="000000"/>
                <w:lang w:eastAsia="es-MX"/>
              </w:rPr>
              <w:t>Cuadro General de Clasificación Archivística, el Catalogo de Disposición Documental del CMAPAS 202</w:t>
            </w:r>
            <w:r>
              <w:rPr>
                <w:rFonts w:hint="default" w:ascii="Calibri" w:hAnsi="Calibri" w:eastAsia="Times New Roman" w:cs="Times New Roman"/>
                <w:color w:val="000000"/>
                <w:lang w:val="en-US" w:eastAsia="es-MX"/>
              </w:rPr>
              <w:t>6</w:t>
            </w:r>
            <w:r>
              <w:rPr>
                <w:rFonts w:ascii="Calibri" w:hAnsi="Calibri" w:eastAsia="Times New Roman" w:cs="Times New Roman"/>
                <w:color w:val="000000"/>
                <w:lang w:eastAsia="es-MX"/>
              </w:rPr>
              <w:t xml:space="preserve"> Actualizados</w:t>
            </w:r>
          </w:p>
        </w:tc>
      </w:tr>
    </w:tbl>
    <w:p w14:paraId="1AB1F9AA">
      <w:pPr>
        <w:jc w:val="both"/>
      </w:pPr>
    </w:p>
    <w:p w14:paraId="36A7367F">
      <w:pPr>
        <w:jc w:val="both"/>
      </w:pPr>
    </w:p>
    <w:p w14:paraId="18892FCC">
      <w:pPr>
        <w:jc w:val="both"/>
      </w:pPr>
    </w:p>
    <w:p w14:paraId="4AE6E97D">
      <w:pPr>
        <w:jc w:val="both"/>
      </w:pPr>
    </w:p>
    <w:p w14:paraId="4F559168">
      <w:pPr>
        <w:jc w:val="both"/>
      </w:pPr>
    </w:p>
    <w:p w14:paraId="59CB2BF2">
      <w:pPr>
        <w:jc w:val="both"/>
      </w:pPr>
    </w:p>
    <w:tbl>
      <w:tblPr>
        <w:tblStyle w:val="10"/>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879"/>
        <w:gridCol w:w="1879"/>
        <w:gridCol w:w="1879"/>
        <w:gridCol w:w="1879"/>
      </w:tblGrid>
      <w:tr w14:paraId="0164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shd w:val="clear" w:color="auto" w:fill="1F4E79" w:themeFill="accent1" w:themeFillShade="80"/>
          </w:tcPr>
          <w:p w14:paraId="57EB01F2">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NIVEL</w:t>
            </w:r>
          </w:p>
        </w:tc>
        <w:tc>
          <w:tcPr>
            <w:tcW w:w="1879" w:type="dxa"/>
            <w:shd w:val="clear" w:color="auto" w:fill="1F4E79" w:themeFill="accent1" w:themeFillShade="80"/>
          </w:tcPr>
          <w:p w14:paraId="51EB9EEE">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OBJETIVO 2</w:t>
            </w:r>
          </w:p>
        </w:tc>
        <w:tc>
          <w:tcPr>
            <w:tcW w:w="1879" w:type="dxa"/>
            <w:shd w:val="clear" w:color="auto" w:fill="1F4E79" w:themeFill="accent1" w:themeFillShade="80"/>
          </w:tcPr>
          <w:p w14:paraId="37104812">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META DEL OBJETIVO 2</w:t>
            </w:r>
          </w:p>
        </w:tc>
        <w:tc>
          <w:tcPr>
            <w:tcW w:w="1879" w:type="dxa"/>
            <w:shd w:val="clear" w:color="auto" w:fill="1F4E79" w:themeFill="accent1" w:themeFillShade="80"/>
          </w:tcPr>
          <w:p w14:paraId="00E1F7B5">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ACTIVIDAD 2</w:t>
            </w:r>
          </w:p>
        </w:tc>
        <w:tc>
          <w:tcPr>
            <w:tcW w:w="1879" w:type="dxa"/>
            <w:shd w:val="clear" w:color="auto" w:fill="1F4E79" w:themeFill="accent1" w:themeFillShade="80"/>
          </w:tcPr>
          <w:p w14:paraId="16280452">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INDICADOR DE ACTIVIDAD 2</w:t>
            </w:r>
          </w:p>
        </w:tc>
      </w:tr>
      <w:tr w14:paraId="7F92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14:paraId="482FCCC5">
            <w:pPr>
              <w:jc w:val="both"/>
              <w:rPr>
                <w:b/>
                <w:sz w:val="32"/>
                <w:szCs w:val="32"/>
              </w:rPr>
            </w:pPr>
            <w:r>
              <w:rPr>
                <w:rFonts w:ascii="Calibri" w:hAnsi="Calibri" w:eastAsia="Times New Roman" w:cs="Times New Roman"/>
                <w:color w:val="000000"/>
                <w:lang w:eastAsia="es-MX"/>
              </w:rPr>
              <w:t>OPERATIVO</w:t>
            </w:r>
          </w:p>
        </w:tc>
        <w:tc>
          <w:tcPr>
            <w:tcW w:w="1879" w:type="dxa"/>
            <w:vAlign w:val="bottom"/>
          </w:tcPr>
          <w:p w14:paraId="1B3998F8">
            <w:pPr>
              <w:spacing w:after="0" w:line="240" w:lineRule="auto"/>
              <w:rPr>
                <w:rFonts w:ascii="Calibri" w:hAnsi="Calibri" w:eastAsia="Times New Roman" w:cs="Times New Roman"/>
                <w:color w:val="000000"/>
                <w:lang w:eastAsia="es-MX"/>
              </w:rPr>
            </w:pPr>
            <w:r>
              <w:rPr>
                <w:rFonts w:ascii="Calibri" w:hAnsi="Calibri" w:eastAsia="Times New Roman" w:cs="Times New Roman"/>
                <w:color w:val="000000"/>
                <w:lang w:eastAsia="es-MX"/>
              </w:rPr>
              <w:t>Consolidar los archivos de trámite de las unidades Administrativas Generadoras de la Información, que integran el CMAPAS, para integrar y organizar expedientes, atreves de la capacitación y asesorías continuas.</w:t>
            </w:r>
          </w:p>
        </w:tc>
        <w:tc>
          <w:tcPr>
            <w:tcW w:w="1879" w:type="dxa"/>
          </w:tcPr>
          <w:p w14:paraId="49B58B83">
            <w:pPr>
              <w:jc w:val="both"/>
              <w:rPr>
                <w:b/>
                <w:sz w:val="32"/>
                <w:szCs w:val="32"/>
              </w:rPr>
            </w:pPr>
            <w:r>
              <w:rPr>
                <w:rFonts w:ascii="Calibri" w:hAnsi="Calibri" w:eastAsia="Times New Roman" w:cs="Times New Roman"/>
                <w:color w:val="000000"/>
                <w:lang w:eastAsia="es-MX"/>
              </w:rPr>
              <w:t>Organización de los expedientes que resguardan los archivos de Tramite para el buen funcionamiento del ciclo vital del documento</w:t>
            </w:r>
          </w:p>
        </w:tc>
        <w:tc>
          <w:tcPr>
            <w:tcW w:w="1879" w:type="dxa"/>
          </w:tcPr>
          <w:p w14:paraId="6D2C516C">
            <w:pPr>
              <w:jc w:val="both"/>
              <w:rPr>
                <w:b/>
                <w:sz w:val="32"/>
                <w:szCs w:val="32"/>
              </w:rPr>
            </w:pPr>
            <w:r>
              <w:rPr>
                <w:rFonts w:ascii="Calibri" w:hAnsi="Calibri" w:eastAsia="Times New Roman" w:cs="Times New Roman"/>
                <w:color w:val="000000"/>
                <w:lang w:eastAsia="es-MX"/>
              </w:rPr>
              <w:t>Capacitación y asesorías de gestión documental y administración de los archivos a los Responsables de Archivo de Tramite(RAT)</w:t>
            </w:r>
          </w:p>
        </w:tc>
        <w:tc>
          <w:tcPr>
            <w:tcW w:w="1879" w:type="dxa"/>
          </w:tcPr>
          <w:p w14:paraId="2C3ED8FA">
            <w:pPr>
              <w:jc w:val="both"/>
              <w:rPr>
                <w:b/>
                <w:sz w:val="32"/>
                <w:szCs w:val="32"/>
              </w:rPr>
            </w:pPr>
            <w:r>
              <w:rPr>
                <w:rFonts w:ascii="Calibri" w:hAnsi="Calibri" w:eastAsia="Times New Roman" w:cs="Times New Roman"/>
                <w:color w:val="000000"/>
                <w:lang w:eastAsia="es-MX"/>
              </w:rPr>
              <w:t>integración de expedientes así como los inventarios generales de documentos y de transferencia primaria</w:t>
            </w:r>
          </w:p>
        </w:tc>
      </w:tr>
    </w:tbl>
    <w:p w14:paraId="51B3AD2F">
      <w:pPr>
        <w:jc w:val="both"/>
        <w:rPr>
          <w:b/>
          <w:sz w:val="32"/>
          <w:szCs w:val="32"/>
        </w:rPr>
      </w:pPr>
    </w:p>
    <w:p w14:paraId="6FB95873">
      <w:pPr>
        <w:jc w:val="both"/>
        <w:rPr>
          <w:b/>
          <w:sz w:val="32"/>
          <w:szCs w:val="32"/>
        </w:rPr>
      </w:pPr>
    </w:p>
    <w:p w14:paraId="26AF7349">
      <w:pPr>
        <w:jc w:val="both"/>
        <w:rPr>
          <w:b/>
          <w:sz w:val="32"/>
          <w:szCs w:val="32"/>
        </w:rPr>
      </w:pPr>
    </w:p>
    <w:p w14:paraId="6CA0A636">
      <w:pPr>
        <w:jc w:val="both"/>
        <w:rPr>
          <w:b/>
          <w:sz w:val="32"/>
          <w:szCs w:val="32"/>
        </w:rPr>
      </w:pPr>
    </w:p>
    <w:p w14:paraId="7EC52F40">
      <w:pPr>
        <w:jc w:val="both"/>
        <w:rPr>
          <w:b/>
          <w:sz w:val="32"/>
          <w:szCs w:val="32"/>
        </w:rPr>
      </w:pPr>
    </w:p>
    <w:p w14:paraId="5ADC03ED">
      <w:pPr>
        <w:jc w:val="both"/>
        <w:rPr>
          <w:b/>
          <w:sz w:val="32"/>
          <w:szCs w:val="32"/>
        </w:rPr>
      </w:pPr>
    </w:p>
    <w:p w14:paraId="3945D743">
      <w:pPr>
        <w:jc w:val="both"/>
        <w:rPr>
          <w:b/>
          <w:sz w:val="32"/>
          <w:szCs w:val="32"/>
        </w:rPr>
      </w:pPr>
    </w:p>
    <w:p w14:paraId="43033F12">
      <w:pPr>
        <w:jc w:val="both"/>
        <w:rPr>
          <w:b/>
          <w:sz w:val="32"/>
          <w:szCs w:val="32"/>
        </w:rPr>
      </w:pPr>
    </w:p>
    <w:p w14:paraId="4A8E7DA3">
      <w:pPr>
        <w:jc w:val="both"/>
        <w:rPr>
          <w:b/>
          <w:sz w:val="32"/>
          <w:szCs w:val="32"/>
        </w:rPr>
      </w:pPr>
    </w:p>
    <w:p w14:paraId="6F072A81">
      <w:pPr>
        <w:jc w:val="both"/>
        <w:rPr>
          <w:b/>
          <w:sz w:val="32"/>
          <w:szCs w:val="32"/>
        </w:rPr>
      </w:pPr>
    </w:p>
    <w:p w14:paraId="27710467">
      <w:pPr>
        <w:jc w:val="both"/>
        <w:rPr>
          <w:b/>
          <w:sz w:val="32"/>
          <w:szCs w:val="32"/>
        </w:rPr>
      </w:pPr>
    </w:p>
    <w:tbl>
      <w:tblPr>
        <w:tblStyle w:val="10"/>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1842"/>
        <w:gridCol w:w="1864"/>
        <w:gridCol w:w="1835"/>
        <w:gridCol w:w="2031"/>
      </w:tblGrid>
      <w:tr w14:paraId="344F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shd w:val="clear" w:color="auto" w:fill="1F4E79" w:themeFill="accent1" w:themeFillShade="80"/>
          </w:tcPr>
          <w:p w14:paraId="70F9641A">
            <w:pPr>
              <w:jc w:val="center"/>
              <w:rPr>
                <w:b/>
                <w:color w:val="0D0D0D" w:themeColor="text1" w:themeTint="F2"/>
                <w14:textFill>
                  <w14:solidFill>
                    <w14:schemeClr w14:val="tx1">
                      <w14:lumMod w14:val="95000"/>
                      <w14:lumOff w14:val="5000"/>
                    </w14:schemeClr>
                  </w14:solidFill>
                </w14:textFill>
              </w:rPr>
            </w:pPr>
            <w:r>
              <w:rPr>
                <w:b/>
                <w:color w:val="0D0D0D" w:themeColor="text1" w:themeTint="F2"/>
                <w14:textFill>
                  <w14:solidFill>
                    <w14:schemeClr w14:val="tx1">
                      <w14:lumMod w14:val="95000"/>
                      <w14:lumOff w14:val="5000"/>
                    </w14:schemeClr>
                  </w14:solidFill>
                </w14:textFill>
              </w:rPr>
              <w:t>NIVEL</w:t>
            </w:r>
          </w:p>
        </w:tc>
        <w:tc>
          <w:tcPr>
            <w:tcW w:w="1842" w:type="dxa"/>
            <w:tcBorders>
              <w:bottom w:val="single" w:color="auto" w:sz="4" w:space="0"/>
            </w:tcBorders>
            <w:shd w:val="clear" w:color="auto" w:fill="1F4E79" w:themeFill="accent1" w:themeFillShade="80"/>
          </w:tcPr>
          <w:p w14:paraId="4592394F">
            <w:pPr>
              <w:jc w:val="center"/>
              <w:rPr>
                <w:b/>
                <w:color w:val="0D0D0D" w:themeColor="text1" w:themeTint="F2"/>
                <w14:textFill>
                  <w14:solidFill>
                    <w14:schemeClr w14:val="tx1">
                      <w14:lumMod w14:val="95000"/>
                      <w14:lumOff w14:val="5000"/>
                    </w14:schemeClr>
                  </w14:solidFill>
                </w14:textFill>
              </w:rPr>
            </w:pPr>
            <w:r>
              <w:rPr>
                <w:b/>
                <w:color w:val="0D0D0D" w:themeColor="text1" w:themeTint="F2"/>
                <w14:textFill>
                  <w14:solidFill>
                    <w14:schemeClr w14:val="tx1">
                      <w14:lumMod w14:val="95000"/>
                      <w14:lumOff w14:val="5000"/>
                    </w14:schemeClr>
                  </w14:solidFill>
                </w14:textFill>
              </w:rPr>
              <w:t>OBJETIVO 3</w:t>
            </w:r>
          </w:p>
        </w:tc>
        <w:tc>
          <w:tcPr>
            <w:tcW w:w="1864" w:type="dxa"/>
            <w:shd w:val="clear" w:color="auto" w:fill="1F4E79" w:themeFill="accent1" w:themeFillShade="80"/>
          </w:tcPr>
          <w:p w14:paraId="50F2AC13">
            <w:pPr>
              <w:jc w:val="center"/>
              <w:rPr>
                <w:b/>
                <w:color w:val="0D0D0D" w:themeColor="text1" w:themeTint="F2"/>
                <w14:textFill>
                  <w14:solidFill>
                    <w14:schemeClr w14:val="tx1">
                      <w14:lumMod w14:val="95000"/>
                      <w14:lumOff w14:val="5000"/>
                    </w14:schemeClr>
                  </w14:solidFill>
                </w14:textFill>
              </w:rPr>
            </w:pPr>
            <w:r>
              <w:rPr>
                <w:b/>
                <w:color w:val="0D0D0D" w:themeColor="text1" w:themeTint="F2"/>
                <w14:textFill>
                  <w14:solidFill>
                    <w14:schemeClr w14:val="tx1">
                      <w14:lumMod w14:val="95000"/>
                      <w14:lumOff w14:val="5000"/>
                    </w14:schemeClr>
                  </w14:solidFill>
                </w14:textFill>
              </w:rPr>
              <w:t>META DEL OBJETIVO 3</w:t>
            </w:r>
          </w:p>
        </w:tc>
        <w:tc>
          <w:tcPr>
            <w:tcW w:w="1835" w:type="dxa"/>
            <w:shd w:val="clear" w:color="auto" w:fill="1F4E79" w:themeFill="accent1" w:themeFillShade="80"/>
          </w:tcPr>
          <w:p w14:paraId="566C70FE">
            <w:pPr>
              <w:jc w:val="center"/>
              <w:rPr>
                <w:b/>
                <w:color w:val="0D0D0D" w:themeColor="text1" w:themeTint="F2"/>
                <w14:textFill>
                  <w14:solidFill>
                    <w14:schemeClr w14:val="tx1">
                      <w14:lumMod w14:val="95000"/>
                      <w14:lumOff w14:val="5000"/>
                    </w14:schemeClr>
                  </w14:solidFill>
                </w14:textFill>
              </w:rPr>
            </w:pPr>
            <w:r>
              <w:rPr>
                <w:b/>
                <w:color w:val="0D0D0D" w:themeColor="text1" w:themeTint="F2"/>
                <w14:textFill>
                  <w14:solidFill>
                    <w14:schemeClr w14:val="tx1">
                      <w14:lumMod w14:val="95000"/>
                      <w14:lumOff w14:val="5000"/>
                    </w14:schemeClr>
                  </w14:solidFill>
                </w14:textFill>
              </w:rPr>
              <w:t>ACTIVIDAD 1</w:t>
            </w:r>
          </w:p>
        </w:tc>
        <w:tc>
          <w:tcPr>
            <w:tcW w:w="2031" w:type="dxa"/>
            <w:shd w:val="clear" w:color="auto" w:fill="1F4E79" w:themeFill="accent1" w:themeFillShade="80"/>
          </w:tcPr>
          <w:p w14:paraId="466A3A63">
            <w:pPr>
              <w:jc w:val="center"/>
              <w:rPr>
                <w:b/>
                <w:color w:val="0D0D0D" w:themeColor="text1" w:themeTint="F2"/>
                <w14:textFill>
                  <w14:solidFill>
                    <w14:schemeClr w14:val="tx1">
                      <w14:lumMod w14:val="95000"/>
                      <w14:lumOff w14:val="5000"/>
                    </w14:schemeClr>
                  </w14:solidFill>
                </w14:textFill>
              </w:rPr>
            </w:pPr>
            <w:r>
              <w:rPr>
                <w:b/>
                <w:color w:val="0D0D0D" w:themeColor="text1" w:themeTint="F2"/>
                <w14:textFill>
                  <w14:solidFill>
                    <w14:schemeClr w14:val="tx1">
                      <w14:lumMod w14:val="95000"/>
                      <w14:lumOff w14:val="5000"/>
                    </w14:schemeClr>
                  </w14:solidFill>
                </w14:textFill>
              </w:rPr>
              <w:t>INDICADOR DE ACTIVIDAD 1</w:t>
            </w:r>
          </w:p>
        </w:tc>
      </w:tr>
      <w:tr w14:paraId="106C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Borders>
              <w:bottom w:val="nil"/>
            </w:tcBorders>
          </w:tcPr>
          <w:p w14:paraId="1764AB05">
            <w:pPr>
              <w:jc w:val="both"/>
              <w:rPr>
                <w:b/>
                <w:sz w:val="32"/>
                <w:szCs w:val="32"/>
              </w:rPr>
            </w:pPr>
            <w:r>
              <w:rPr>
                <w:rFonts w:ascii="Calibri" w:hAnsi="Calibri" w:eastAsia="Times New Roman" w:cs="Times New Roman"/>
                <w:color w:val="000000"/>
                <w:lang w:eastAsia="es-MX"/>
              </w:rPr>
              <w:t>OPERATIVO</w:t>
            </w:r>
          </w:p>
        </w:tc>
        <w:tc>
          <w:tcPr>
            <w:tcW w:w="1842" w:type="dxa"/>
            <w:tcBorders>
              <w:bottom w:val="single" w:color="auto" w:sz="4" w:space="0"/>
            </w:tcBorders>
            <w:vAlign w:val="center"/>
          </w:tcPr>
          <w:p w14:paraId="08A9A2B4">
            <w:pPr>
              <w:spacing w:after="0" w:line="240" w:lineRule="auto"/>
              <w:jc w:val="both"/>
              <w:rPr>
                <w:rFonts w:ascii="Calibri" w:hAnsi="Calibri" w:eastAsia="Times New Roman" w:cs="Times New Roman"/>
                <w:color w:val="000000"/>
                <w:lang w:eastAsia="es-MX"/>
              </w:rPr>
            </w:pPr>
            <w:r>
              <w:rPr>
                <w:rFonts w:ascii="Calibri" w:hAnsi="Calibri" w:eastAsia="Times New Roman" w:cs="Times New Roman"/>
                <w:color w:val="000000"/>
                <w:lang w:eastAsia="es-MX"/>
              </w:rPr>
              <w:t>Coordinar los procesos de disposición documental, valoración y destino final que realicen las áreas operativas, promoviendo la baja documental y transferencia primaria de expedientes, a través de inventarios documentales, notas de valoración</w:t>
            </w:r>
          </w:p>
        </w:tc>
        <w:tc>
          <w:tcPr>
            <w:tcW w:w="1864" w:type="dxa"/>
          </w:tcPr>
          <w:p w14:paraId="3FA56A36">
            <w:pPr>
              <w:jc w:val="both"/>
              <w:rPr>
                <w:b/>
                <w:sz w:val="32"/>
                <w:szCs w:val="32"/>
              </w:rPr>
            </w:pPr>
            <w:r>
              <w:rPr>
                <w:rFonts w:ascii="Calibri" w:hAnsi="Calibri" w:eastAsia="Times New Roman" w:cs="Times New Roman"/>
                <w:color w:val="000000"/>
                <w:lang w:eastAsia="es-MX"/>
              </w:rPr>
              <w:t>Validar y aprobar las fichas técnicas, así como los inventarios de bajas documentales y transferencias primarias por parte del grupo interdisciplinario de archivo de este Sujeto Obligado</w:t>
            </w:r>
          </w:p>
        </w:tc>
        <w:tc>
          <w:tcPr>
            <w:tcW w:w="1835" w:type="dxa"/>
          </w:tcPr>
          <w:p w14:paraId="51EB74A0">
            <w:pPr>
              <w:jc w:val="both"/>
              <w:rPr>
                <w:b/>
                <w:sz w:val="32"/>
                <w:szCs w:val="32"/>
              </w:rPr>
            </w:pPr>
            <w:r>
              <w:rPr>
                <w:rFonts w:ascii="Calibri" w:hAnsi="Calibri" w:eastAsia="Times New Roman" w:cs="Times New Roman"/>
                <w:color w:val="000000"/>
                <w:lang w:eastAsia="es-MX"/>
              </w:rPr>
              <w:t>Elaboración de notas de valoración, inventarios de baja documental, y transferencia primaria</w:t>
            </w:r>
          </w:p>
        </w:tc>
        <w:tc>
          <w:tcPr>
            <w:tcW w:w="2031" w:type="dxa"/>
          </w:tcPr>
          <w:p w14:paraId="799C023F">
            <w:pPr>
              <w:jc w:val="both"/>
              <w:rPr>
                <w:b/>
                <w:sz w:val="32"/>
                <w:szCs w:val="32"/>
              </w:rPr>
            </w:pPr>
            <w:r>
              <w:rPr>
                <w:rFonts w:ascii="Calibri" w:hAnsi="Calibri" w:eastAsia="Times New Roman" w:cs="Times New Roman"/>
                <w:color w:val="000000"/>
                <w:lang w:eastAsia="es-MX"/>
              </w:rPr>
              <w:t>Inventarios documentales/actas de sesión del grupo interdisciplinario de archivo del CMAPAS, con la validación</w:t>
            </w:r>
          </w:p>
        </w:tc>
      </w:tr>
      <w:tr w14:paraId="5203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Borders>
              <w:top w:val="nil"/>
              <w:left w:val="single" w:color="auto" w:sz="4" w:space="0"/>
              <w:bottom w:val="nil"/>
              <w:right w:val="nil"/>
            </w:tcBorders>
          </w:tcPr>
          <w:p w14:paraId="6B9F8107">
            <w:pPr>
              <w:jc w:val="both"/>
              <w:rPr>
                <w:rFonts w:ascii="Calibri" w:hAnsi="Calibri" w:eastAsia="Times New Roman" w:cs="Times New Roman"/>
                <w:color w:val="000000"/>
                <w:lang w:eastAsia="es-MX"/>
              </w:rPr>
            </w:pPr>
          </w:p>
        </w:tc>
        <w:tc>
          <w:tcPr>
            <w:tcW w:w="1842" w:type="dxa"/>
            <w:tcBorders>
              <w:top w:val="single" w:color="auto" w:sz="4" w:space="0"/>
              <w:left w:val="nil"/>
              <w:bottom w:val="nil"/>
              <w:right w:val="nil"/>
            </w:tcBorders>
            <w:vAlign w:val="center"/>
          </w:tcPr>
          <w:p w14:paraId="0CBDECD6">
            <w:pPr>
              <w:spacing w:after="0" w:line="240" w:lineRule="auto"/>
              <w:rPr>
                <w:rFonts w:ascii="Calibri" w:hAnsi="Calibri" w:eastAsia="Times New Roman" w:cs="Times New Roman"/>
                <w:color w:val="000000"/>
                <w:lang w:eastAsia="es-MX"/>
              </w:rPr>
            </w:pPr>
          </w:p>
        </w:tc>
        <w:tc>
          <w:tcPr>
            <w:tcW w:w="1864" w:type="dxa"/>
            <w:tcBorders>
              <w:left w:val="nil"/>
              <w:bottom w:val="single" w:color="auto" w:sz="4" w:space="0"/>
            </w:tcBorders>
            <w:shd w:val="clear" w:color="auto" w:fill="1F4E79" w:themeFill="accent1" w:themeFillShade="80"/>
          </w:tcPr>
          <w:p w14:paraId="2F49783D">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META DEL OBJETIVO 3</w:t>
            </w:r>
          </w:p>
        </w:tc>
        <w:tc>
          <w:tcPr>
            <w:tcW w:w="1835" w:type="dxa"/>
            <w:shd w:val="clear" w:color="auto" w:fill="1F4E79" w:themeFill="accent1" w:themeFillShade="80"/>
          </w:tcPr>
          <w:p w14:paraId="7C8919F8">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ACTIVIDAD 2</w:t>
            </w:r>
          </w:p>
        </w:tc>
        <w:tc>
          <w:tcPr>
            <w:tcW w:w="2031" w:type="dxa"/>
            <w:shd w:val="clear" w:color="auto" w:fill="1F4E79" w:themeFill="accent1" w:themeFillShade="80"/>
          </w:tcPr>
          <w:p w14:paraId="581C0969">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INDICADOR DE ACTIVIDAD 2</w:t>
            </w:r>
          </w:p>
        </w:tc>
      </w:tr>
      <w:tr w14:paraId="4DBA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Borders>
              <w:top w:val="nil"/>
              <w:left w:val="single" w:color="auto" w:sz="4" w:space="0"/>
              <w:bottom w:val="single" w:color="auto" w:sz="4" w:space="0"/>
              <w:right w:val="nil"/>
            </w:tcBorders>
          </w:tcPr>
          <w:p w14:paraId="3818BC83">
            <w:pPr>
              <w:jc w:val="both"/>
              <w:rPr>
                <w:rFonts w:ascii="Calibri" w:hAnsi="Calibri" w:eastAsia="Times New Roman" w:cs="Times New Roman"/>
                <w:color w:val="000000"/>
                <w:lang w:eastAsia="es-MX"/>
              </w:rPr>
            </w:pPr>
          </w:p>
        </w:tc>
        <w:tc>
          <w:tcPr>
            <w:tcW w:w="1842" w:type="dxa"/>
            <w:tcBorders>
              <w:top w:val="nil"/>
              <w:left w:val="nil"/>
              <w:bottom w:val="single" w:color="auto" w:sz="4" w:space="0"/>
              <w:right w:val="single" w:color="auto" w:sz="4" w:space="0"/>
            </w:tcBorders>
            <w:vAlign w:val="center"/>
          </w:tcPr>
          <w:p w14:paraId="62091ABE">
            <w:pPr>
              <w:spacing w:after="0" w:line="240" w:lineRule="auto"/>
              <w:rPr>
                <w:rFonts w:ascii="Calibri" w:hAnsi="Calibri" w:eastAsia="Times New Roman" w:cs="Times New Roman"/>
                <w:color w:val="000000"/>
                <w:lang w:eastAsia="es-MX"/>
              </w:rPr>
            </w:pPr>
          </w:p>
        </w:tc>
        <w:tc>
          <w:tcPr>
            <w:tcW w:w="1864" w:type="dxa"/>
            <w:tcBorders>
              <w:left w:val="single" w:color="auto" w:sz="4" w:space="0"/>
            </w:tcBorders>
          </w:tcPr>
          <w:p w14:paraId="1FE08F0B">
            <w:pPr>
              <w:jc w:val="both"/>
              <w:rPr>
                <w:b/>
                <w:color w:val="FFFFFF" w:themeColor="background1"/>
                <w14:textFill>
                  <w14:solidFill>
                    <w14:schemeClr w14:val="bg1"/>
                  </w14:solidFill>
                </w14:textFill>
              </w:rPr>
            </w:pPr>
            <w:r>
              <w:rPr>
                <w:rFonts w:ascii="Calibri" w:hAnsi="Calibri" w:eastAsia="Times New Roman" w:cs="Times New Roman"/>
                <w:color w:val="000000"/>
                <w:lang w:eastAsia="es-MX"/>
              </w:rPr>
              <w:t>Analizar expedientes que ya cumplieron su vigencia documental en el archivo de concentración</w:t>
            </w:r>
          </w:p>
        </w:tc>
        <w:tc>
          <w:tcPr>
            <w:tcW w:w="1835" w:type="dxa"/>
          </w:tcPr>
          <w:p w14:paraId="72D65E2D">
            <w:pPr>
              <w:jc w:val="both"/>
              <w:rPr>
                <w:b/>
                <w:color w:val="FFFFFF" w:themeColor="background1"/>
                <w14:textFill>
                  <w14:solidFill>
                    <w14:schemeClr w14:val="bg1"/>
                  </w14:solidFill>
                </w14:textFill>
              </w:rPr>
            </w:pPr>
            <w:r>
              <w:rPr>
                <w:rFonts w:ascii="Calibri" w:hAnsi="Calibri" w:eastAsia="Times New Roman" w:cs="Times New Roman"/>
                <w:color w:val="000000"/>
                <w:lang w:eastAsia="es-MX"/>
              </w:rPr>
              <w:t>2.1 Recepción de transferencias primarias.                2.2. Préstamo de consulta de expedientes.           2.3. Proceso de disposición documental.</w:t>
            </w:r>
          </w:p>
        </w:tc>
        <w:tc>
          <w:tcPr>
            <w:tcW w:w="2031" w:type="dxa"/>
          </w:tcPr>
          <w:p w14:paraId="599A9C4F">
            <w:pPr>
              <w:jc w:val="both"/>
              <w:rPr>
                <w:b/>
                <w:color w:val="FFFFFF" w:themeColor="background1"/>
                <w14:textFill>
                  <w14:solidFill>
                    <w14:schemeClr w14:val="bg1"/>
                  </w14:solidFill>
                </w14:textFill>
              </w:rPr>
            </w:pPr>
            <w:r>
              <w:rPr>
                <w:rFonts w:ascii="Calibri" w:hAnsi="Calibri" w:eastAsia="Times New Roman" w:cs="Times New Roman"/>
                <w:color w:val="000000"/>
                <w:lang w:eastAsia="es-MX"/>
              </w:rPr>
              <w:t>2.1.Expedientes de transferencias primarias         2.2.control de préstamos y consultas     2.3.Dictamenes, actas e inventarios de transferencia primaria y baja documental</w:t>
            </w:r>
          </w:p>
        </w:tc>
      </w:tr>
    </w:tbl>
    <w:p w14:paraId="689DBFE6">
      <w:pPr>
        <w:jc w:val="both"/>
        <w:rPr>
          <w:b/>
          <w:sz w:val="32"/>
          <w:szCs w:val="32"/>
        </w:rPr>
      </w:pPr>
    </w:p>
    <w:p w14:paraId="05E33E1D">
      <w:pPr>
        <w:jc w:val="both"/>
      </w:pPr>
      <w:r>
        <w:t xml:space="preserve">Con estas actividades se promoverá el desarrollo de los archivos en el archivo del </w:t>
      </w:r>
      <w:r>
        <w:rPr>
          <w:b/>
        </w:rPr>
        <w:t>CMAPAS</w:t>
      </w:r>
      <w:r>
        <w:t xml:space="preserve"> como Sujeto Obligado de la ley de Archivos para el Estado de Guanajuato, y de la ley de transparencia y acceso a la información para el Estado de Guanajuato.</w:t>
      </w:r>
    </w:p>
    <w:p w14:paraId="08EEBCE9">
      <w:pPr>
        <w:jc w:val="both"/>
      </w:pPr>
    </w:p>
    <w:p w14:paraId="2243FEEF">
      <w:pPr>
        <w:jc w:val="both"/>
        <w:rPr>
          <w:b/>
          <w:sz w:val="32"/>
          <w:szCs w:val="32"/>
        </w:rPr>
      </w:pPr>
      <w:r>
        <w:rPr>
          <w:b/>
          <w:sz w:val="32"/>
          <w:szCs w:val="32"/>
        </w:rPr>
        <w:t>4.1 Alcance</w:t>
      </w:r>
    </w:p>
    <w:p w14:paraId="670A7551">
      <w:pPr>
        <w:jc w:val="both"/>
      </w:pPr>
      <w:r>
        <w:t>Este programa anual de Desarrollo Archivístico (PADA) 202</w:t>
      </w:r>
      <w:r>
        <w:rPr>
          <w:rFonts w:hint="default"/>
          <w:lang w:val="es-MX"/>
        </w:rPr>
        <w:t>6</w:t>
      </w:r>
      <w:r>
        <w:t xml:space="preserve"> deberá aplicarse a todas las unidades Administrativas Generadoras de la información, de tal manera que los integrantes del Sistema Institucional de Archivos (SIA) del CMAPAS, aseguren una adecuada y exitosa gestión, organización y administración de los Archivos.</w:t>
      </w:r>
    </w:p>
    <w:p w14:paraId="5365BE41">
      <w:pPr>
        <w:jc w:val="both"/>
      </w:pPr>
      <w:r>
        <w:rPr>
          <w:b/>
          <w:sz w:val="32"/>
          <w:szCs w:val="32"/>
        </w:rPr>
        <w:t>4.2 Entregables</w:t>
      </w:r>
    </w:p>
    <w:tbl>
      <w:tblPr>
        <w:tblStyle w:val="10"/>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3"/>
        <w:gridCol w:w="4697"/>
      </w:tblGrid>
      <w:tr w14:paraId="5B1B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shd w:val="clear" w:color="auto" w:fill="1F4E79" w:themeFill="accent1" w:themeFillShade="80"/>
          </w:tcPr>
          <w:p w14:paraId="032BA87B">
            <w:pPr>
              <w:jc w:val="center"/>
              <w:rPr>
                <w:b/>
                <w:color w:val="FFFFFF" w:themeColor="background1"/>
                <w:sz w:val="32"/>
                <w:szCs w:val="32"/>
                <w14:textFill>
                  <w14:solidFill>
                    <w14:schemeClr w14:val="bg1"/>
                  </w14:solidFill>
                </w14:textFill>
              </w:rPr>
            </w:pPr>
            <w:r>
              <w:rPr>
                <w:rFonts w:ascii="Calibri" w:hAnsi="Calibri" w:eastAsia="Times New Roman" w:cs="Times New Roman"/>
                <w:b/>
                <w:color w:val="FFFFFF" w:themeColor="background1"/>
                <w:lang w:eastAsia="es-MX"/>
                <w14:textFill>
                  <w14:solidFill>
                    <w14:schemeClr w14:val="bg1"/>
                  </w14:solidFill>
                </w14:textFill>
              </w:rPr>
              <w:t xml:space="preserve">ÁREA EN LA QUE INTERVIENE EN EL ENTREGABLE </w:t>
            </w:r>
          </w:p>
        </w:tc>
        <w:tc>
          <w:tcPr>
            <w:tcW w:w="4697" w:type="dxa"/>
            <w:shd w:val="clear" w:color="auto" w:fill="1F4E79" w:themeFill="accent1" w:themeFillShade="80"/>
          </w:tcPr>
          <w:p w14:paraId="036BF945">
            <w:pPr>
              <w:jc w:val="center"/>
              <w:rPr>
                <w:b/>
                <w:color w:val="FFFFFF" w:themeColor="background1"/>
                <w:sz w:val="32"/>
                <w:szCs w:val="32"/>
                <w14:textFill>
                  <w14:solidFill>
                    <w14:schemeClr w14:val="bg1"/>
                  </w14:solidFill>
                </w14:textFill>
              </w:rPr>
            </w:pPr>
            <w:r>
              <w:rPr>
                <w:rFonts w:ascii="Calibri" w:hAnsi="Calibri" w:eastAsia="Times New Roman" w:cs="Times New Roman"/>
                <w:b/>
                <w:color w:val="FFFFFF" w:themeColor="background1"/>
                <w:lang w:eastAsia="es-MX"/>
                <w14:textFill>
                  <w14:solidFill>
                    <w14:schemeClr w14:val="bg1"/>
                  </w14:solidFill>
                </w14:textFill>
              </w:rPr>
              <w:t>ENTREGABLE</w:t>
            </w:r>
          </w:p>
        </w:tc>
      </w:tr>
      <w:tr w14:paraId="5BBE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14:paraId="762C26FF">
            <w:pPr>
              <w:jc w:val="both"/>
              <w:rPr>
                <w:rFonts w:ascii="Calibri" w:hAnsi="Calibri" w:eastAsia="Times New Roman" w:cs="Times New Roman"/>
                <w:color w:val="000000"/>
                <w:lang w:eastAsia="es-MX"/>
              </w:rPr>
            </w:pPr>
            <w:r>
              <w:rPr>
                <w:rFonts w:ascii="Calibri" w:hAnsi="Calibri" w:eastAsia="Times New Roman" w:cs="Times New Roman"/>
                <w:color w:val="000000"/>
                <w:lang w:eastAsia="es-MX"/>
              </w:rPr>
              <w:t>Coordinación de archivos</w:t>
            </w:r>
          </w:p>
        </w:tc>
        <w:tc>
          <w:tcPr>
            <w:tcW w:w="4697" w:type="dxa"/>
          </w:tcPr>
          <w:p w14:paraId="17F26848">
            <w:pPr>
              <w:jc w:val="both"/>
              <w:rPr>
                <w:rFonts w:ascii="Calibri" w:hAnsi="Calibri" w:eastAsia="Times New Roman" w:cs="Times New Roman"/>
                <w:color w:val="000000"/>
                <w:lang w:eastAsia="es-MX"/>
              </w:rPr>
            </w:pPr>
            <w:r>
              <w:rPr>
                <w:rFonts w:ascii="Calibri" w:hAnsi="Calibri" w:eastAsia="Times New Roman" w:cs="Times New Roman"/>
                <w:color w:val="000000"/>
                <w:lang w:eastAsia="es-MX"/>
              </w:rPr>
              <w:t>Cuadro General de Clasificación Archivística, Catalogo de Disposición Documental, Inventarios Documentales del CMAPAS 202</w:t>
            </w:r>
            <w:r>
              <w:rPr>
                <w:rFonts w:hint="default" w:ascii="Calibri" w:hAnsi="Calibri" w:eastAsia="Times New Roman" w:cs="Times New Roman"/>
                <w:color w:val="000000"/>
                <w:lang w:val="en-US" w:eastAsia="es-MX"/>
              </w:rPr>
              <w:t>6</w:t>
            </w:r>
            <w:r>
              <w:rPr>
                <w:rFonts w:ascii="Calibri" w:hAnsi="Calibri" w:eastAsia="Times New Roman" w:cs="Times New Roman"/>
                <w:color w:val="000000"/>
                <w:lang w:eastAsia="es-MX"/>
              </w:rPr>
              <w:t xml:space="preserve"> </w:t>
            </w:r>
          </w:p>
          <w:p w14:paraId="2767C4CA">
            <w:pPr>
              <w:jc w:val="both"/>
              <w:rPr>
                <w:b/>
                <w:sz w:val="32"/>
                <w:szCs w:val="32"/>
              </w:rPr>
            </w:pPr>
            <w:r>
              <w:rPr>
                <w:rFonts w:ascii="Calibri" w:hAnsi="Calibri" w:eastAsia="Times New Roman" w:cs="Times New Roman"/>
                <w:color w:val="000000"/>
                <w:lang w:eastAsia="es-MX"/>
              </w:rPr>
              <w:t>Acta de sesión del Grupo Interdisciplinario de CMAPAS</w:t>
            </w:r>
          </w:p>
        </w:tc>
      </w:tr>
      <w:tr w14:paraId="0B39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14:paraId="7162D8F2">
            <w:pPr>
              <w:jc w:val="both"/>
              <w:rPr>
                <w:b/>
                <w:sz w:val="32"/>
                <w:szCs w:val="32"/>
              </w:rPr>
            </w:pPr>
            <w:r>
              <w:rPr>
                <w:rFonts w:ascii="Calibri" w:hAnsi="Calibri" w:eastAsia="Times New Roman" w:cs="Times New Roman"/>
                <w:color w:val="000000"/>
                <w:lang w:eastAsia="es-MX"/>
              </w:rPr>
              <w:t xml:space="preserve">Responsables del Archivo de Concentración y Archivo de Tramite. </w:t>
            </w:r>
          </w:p>
        </w:tc>
        <w:tc>
          <w:tcPr>
            <w:tcW w:w="4697" w:type="dxa"/>
          </w:tcPr>
          <w:p w14:paraId="4010B00C">
            <w:pPr>
              <w:jc w:val="both"/>
              <w:rPr>
                <w:b/>
                <w:sz w:val="32"/>
                <w:szCs w:val="32"/>
              </w:rPr>
            </w:pPr>
            <w:r>
              <w:rPr>
                <w:rFonts w:ascii="Calibri" w:hAnsi="Calibri" w:eastAsia="Times New Roman" w:cs="Times New Roman"/>
                <w:color w:val="000000"/>
                <w:lang w:eastAsia="es-MX"/>
              </w:rPr>
              <w:t>Integración de Expedientes, Inventarios generales y de transferencia Primaria</w:t>
            </w:r>
          </w:p>
        </w:tc>
      </w:tr>
      <w:tr w14:paraId="120A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14:paraId="76F6CEA8">
            <w:pPr>
              <w:jc w:val="both"/>
              <w:rPr>
                <w:rFonts w:ascii="Calibri" w:hAnsi="Calibri" w:eastAsia="Times New Roman" w:cs="Times New Roman"/>
                <w:color w:val="000000"/>
                <w:lang w:eastAsia="es-MX"/>
              </w:rPr>
            </w:pPr>
            <w:r>
              <w:rPr>
                <w:rFonts w:ascii="Calibri" w:hAnsi="Calibri" w:eastAsia="Times New Roman" w:cs="Times New Roman"/>
                <w:color w:val="000000"/>
                <w:lang w:eastAsia="es-MX"/>
              </w:rPr>
              <w:t>Responsable del Archivo de Concentración.</w:t>
            </w:r>
          </w:p>
        </w:tc>
        <w:tc>
          <w:tcPr>
            <w:tcW w:w="4697" w:type="dxa"/>
          </w:tcPr>
          <w:p w14:paraId="3E42CB60">
            <w:pPr>
              <w:jc w:val="both"/>
              <w:rPr>
                <w:b/>
                <w:sz w:val="32"/>
                <w:szCs w:val="32"/>
              </w:rPr>
            </w:pPr>
            <w:r>
              <w:rPr>
                <w:rFonts w:ascii="Calibri" w:hAnsi="Calibri" w:eastAsia="Times New Roman" w:cs="Times New Roman"/>
                <w:color w:val="000000"/>
                <w:lang w:eastAsia="es-MX"/>
              </w:rPr>
              <w:t>Inventarios Documentales.</w:t>
            </w:r>
          </w:p>
        </w:tc>
      </w:tr>
      <w:tr w14:paraId="05A9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14:paraId="0EDBFB2C">
            <w:pPr>
              <w:jc w:val="both"/>
              <w:rPr>
                <w:rFonts w:ascii="Calibri" w:hAnsi="Calibri" w:eastAsia="Times New Roman" w:cs="Times New Roman"/>
                <w:color w:val="000000"/>
                <w:lang w:eastAsia="es-MX"/>
              </w:rPr>
            </w:pPr>
            <w:r>
              <w:rPr>
                <w:rFonts w:ascii="Calibri" w:hAnsi="Calibri" w:eastAsia="Times New Roman" w:cs="Times New Roman"/>
                <w:color w:val="000000"/>
                <w:lang w:eastAsia="es-MX"/>
              </w:rPr>
              <w:t>Coordinación del Archivo de Concentración, Responsable del Archivo de Concentración, Enlaces de Archivo de Trámite.</w:t>
            </w:r>
          </w:p>
        </w:tc>
        <w:tc>
          <w:tcPr>
            <w:tcW w:w="4697" w:type="dxa"/>
          </w:tcPr>
          <w:p w14:paraId="2566B702">
            <w:pPr>
              <w:jc w:val="both"/>
              <w:rPr>
                <w:b/>
                <w:sz w:val="32"/>
                <w:szCs w:val="32"/>
              </w:rPr>
            </w:pPr>
            <w:r>
              <w:rPr>
                <w:rFonts w:ascii="Calibri" w:hAnsi="Calibri" w:eastAsia="Times New Roman" w:cs="Times New Roman"/>
                <w:color w:val="000000"/>
                <w:lang w:eastAsia="es-MX"/>
              </w:rPr>
              <w:t>Expedientes de transferencias primarias, control de préstamos y consultas, dictámenes, actas e inventarios de transferencia primaria  y baja documental</w:t>
            </w:r>
          </w:p>
        </w:tc>
      </w:tr>
    </w:tbl>
    <w:p w14:paraId="3081A2C1">
      <w:pPr>
        <w:jc w:val="both"/>
        <w:rPr>
          <w:b/>
          <w:sz w:val="32"/>
          <w:szCs w:val="32"/>
        </w:rPr>
      </w:pPr>
    </w:p>
    <w:p w14:paraId="22274101">
      <w:pPr>
        <w:jc w:val="both"/>
        <w:rPr>
          <w:b/>
          <w:sz w:val="32"/>
          <w:szCs w:val="32"/>
        </w:rPr>
      </w:pPr>
    </w:p>
    <w:p w14:paraId="159F34D6">
      <w:pPr>
        <w:jc w:val="both"/>
        <w:rPr>
          <w:b/>
          <w:sz w:val="32"/>
          <w:szCs w:val="32"/>
        </w:rPr>
      </w:pPr>
    </w:p>
    <w:p w14:paraId="3081B310">
      <w:pPr>
        <w:jc w:val="both"/>
        <w:rPr>
          <w:b/>
          <w:sz w:val="32"/>
          <w:szCs w:val="32"/>
        </w:rPr>
      </w:pPr>
    </w:p>
    <w:p w14:paraId="763295C3">
      <w:pPr>
        <w:jc w:val="both"/>
        <w:rPr>
          <w:b/>
          <w:sz w:val="32"/>
          <w:szCs w:val="32"/>
        </w:rPr>
      </w:pPr>
    </w:p>
    <w:p w14:paraId="4DB290D3">
      <w:pPr>
        <w:jc w:val="both"/>
        <w:rPr>
          <w:b/>
          <w:sz w:val="32"/>
          <w:szCs w:val="32"/>
        </w:rPr>
      </w:pPr>
    </w:p>
    <w:p w14:paraId="08C7BB37">
      <w:pPr>
        <w:jc w:val="both"/>
        <w:rPr>
          <w:b/>
          <w:sz w:val="32"/>
          <w:szCs w:val="32"/>
        </w:rPr>
      </w:pPr>
    </w:p>
    <w:p w14:paraId="33314225">
      <w:pPr>
        <w:jc w:val="both"/>
        <w:rPr>
          <w:b/>
          <w:sz w:val="32"/>
          <w:szCs w:val="32"/>
        </w:rPr>
      </w:pPr>
    </w:p>
    <w:p w14:paraId="51337324">
      <w:pPr>
        <w:jc w:val="both"/>
        <w:rPr>
          <w:b/>
          <w:sz w:val="32"/>
          <w:szCs w:val="32"/>
        </w:rPr>
      </w:pPr>
    </w:p>
    <w:p w14:paraId="23453A18">
      <w:pPr>
        <w:jc w:val="both"/>
        <w:rPr>
          <w:b/>
          <w:sz w:val="32"/>
          <w:szCs w:val="32"/>
        </w:rPr>
      </w:pPr>
      <w:r>
        <w:rPr>
          <w:b/>
          <w:sz w:val="32"/>
          <w:szCs w:val="32"/>
        </w:rPr>
        <w:t>4.3 Recursos</w:t>
      </w:r>
    </w:p>
    <w:p w14:paraId="7936A6FE">
      <w:pPr>
        <w:jc w:val="both"/>
      </w:pPr>
      <w:r>
        <w:t>La asignación de recursos garantiza el logro de los objetivos, por lo tanto, es necesario la entrega de una adecuada cantidad de insumos, recurso humano y recursos materiales.</w:t>
      </w:r>
    </w:p>
    <w:p w14:paraId="1D4A916A">
      <w:pPr>
        <w:jc w:val="both"/>
        <w:rPr>
          <w:b/>
          <w:sz w:val="32"/>
          <w:szCs w:val="32"/>
        </w:rPr>
      </w:pPr>
    </w:p>
    <w:tbl>
      <w:tblPr>
        <w:tblStyle w:val="3"/>
        <w:tblW w:w="9639" w:type="dxa"/>
        <w:tblInd w:w="-5" w:type="dxa"/>
        <w:tblLayout w:type="autofit"/>
        <w:tblCellMar>
          <w:top w:w="0" w:type="dxa"/>
          <w:left w:w="70" w:type="dxa"/>
          <w:bottom w:w="0" w:type="dxa"/>
          <w:right w:w="70" w:type="dxa"/>
        </w:tblCellMar>
      </w:tblPr>
      <w:tblGrid>
        <w:gridCol w:w="3840"/>
        <w:gridCol w:w="5799"/>
      </w:tblGrid>
      <w:tr w14:paraId="7D1870F6">
        <w:tblPrEx>
          <w:tblCellMar>
            <w:top w:w="0" w:type="dxa"/>
            <w:left w:w="70" w:type="dxa"/>
            <w:bottom w:w="0" w:type="dxa"/>
            <w:right w:w="70" w:type="dxa"/>
          </w:tblCellMar>
        </w:tblPrEx>
        <w:trPr>
          <w:trHeight w:val="1557" w:hRule="atLeast"/>
        </w:trPr>
        <w:tc>
          <w:tcPr>
            <w:tcW w:w="3840" w:type="dxa"/>
            <w:tcBorders>
              <w:top w:val="single" w:color="auto" w:sz="4" w:space="0"/>
              <w:left w:val="single" w:color="auto" w:sz="4" w:space="0"/>
              <w:bottom w:val="single" w:color="auto" w:sz="4" w:space="0"/>
              <w:right w:val="single" w:color="auto" w:sz="4" w:space="0"/>
            </w:tcBorders>
            <w:shd w:val="clear" w:color="000000" w:fill="203764"/>
            <w:vAlign w:val="bottom"/>
          </w:tcPr>
          <w:p w14:paraId="144DE106">
            <w:pPr>
              <w:spacing w:after="0" w:line="240" w:lineRule="auto"/>
              <w:rPr>
                <w:rFonts w:ascii="Calibri" w:hAnsi="Calibri" w:eastAsia="Times New Roman" w:cs="Times New Roman"/>
                <w:color w:val="FFFFFF" w:themeColor="background1"/>
                <w:lang w:eastAsia="es-MX"/>
                <w14:textFill>
                  <w14:solidFill>
                    <w14:schemeClr w14:val="bg1"/>
                  </w14:solidFill>
                </w14:textFill>
              </w:rPr>
            </w:pPr>
            <w:r>
              <w:rPr>
                <w:rFonts w:ascii="Calibri" w:hAnsi="Calibri" w:eastAsia="Times New Roman" w:cs="Times New Roman"/>
                <w:color w:val="FFFFFF" w:themeColor="background1"/>
                <w:lang w:eastAsia="es-MX"/>
                <w14:textFill>
                  <w14:solidFill>
                    <w14:schemeClr w14:val="bg1"/>
                  </w14:solidFill>
                </w14:textFill>
              </w:rPr>
              <w:t>RECURSOS HUMANOS</w:t>
            </w:r>
          </w:p>
        </w:tc>
        <w:tc>
          <w:tcPr>
            <w:tcW w:w="5799" w:type="dxa"/>
            <w:tcBorders>
              <w:top w:val="single" w:color="auto" w:sz="4" w:space="0"/>
              <w:left w:val="nil"/>
              <w:bottom w:val="single" w:color="auto" w:sz="4" w:space="0"/>
              <w:right w:val="single" w:color="auto" w:sz="4" w:space="0"/>
            </w:tcBorders>
            <w:shd w:val="clear" w:color="auto" w:fill="auto"/>
            <w:vAlign w:val="bottom"/>
          </w:tcPr>
          <w:p w14:paraId="1ED37CBF">
            <w:pPr>
              <w:spacing w:after="0" w:line="240" w:lineRule="auto"/>
              <w:rPr>
                <w:rFonts w:ascii="Calibri" w:hAnsi="Calibri" w:eastAsia="Times New Roman" w:cs="Times New Roman"/>
                <w:color w:val="000000"/>
                <w:lang w:eastAsia="es-MX"/>
              </w:rPr>
            </w:pPr>
            <w:r>
              <w:rPr>
                <w:rFonts w:ascii="Calibri" w:hAnsi="Calibri" w:eastAsia="Times New Roman" w:cs="Times New Roman"/>
                <w:color w:val="000000"/>
                <w:lang w:eastAsia="es-MX"/>
              </w:rPr>
              <w:t>Para el cumplimiento de las actividades programadas para el 202</w:t>
            </w:r>
            <w:r>
              <w:rPr>
                <w:rFonts w:hint="default" w:ascii="Calibri" w:hAnsi="Calibri" w:eastAsia="Times New Roman" w:cs="Times New Roman"/>
                <w:color w:val="000000"/>
                <w:lang w:val="en-US" w:eastAsia="es-MX"/>
              </w:rPr>
              <w:t>6</w:t>
            </w:r>
            <w:r>
              <w:rPr>
                <w:rFonts w:ascii="Calibri" w:hAnsi="Calibri" w:eastAsia="Times New Roman" w:cs="Times New Roman"/>
                <w:color w:val="000000"/>
                <w:lang w:eastAsia="es-MX"/>
              </w:rPr>
              <w:t>, se cuenta con 2 personas</w:t>
            </w:r>
          </w:p>
        </w:tc>
      </w:tr>
      <w:tr w14:paraId="4ACAD2ED">
        <w:tblPrEx>
          <w:tblCellMar>
            <w:top w:w="0" w:type="dxa"/>
            <w:left w:w="70" w:type="dxa"/>
            <w:bottom w:w="0" w:type="dxa"/>
            <w:right w:w="70" w:type="dxa"/>
          </w:tblCellMar>
        </w:tblPrEx>
        <w:trPr>
          <w:trHeight w:val="1783" w:hRule="atLeast"/>
        </w:trPr>
        <w:tc>
          <w:tcPr>
            <w:tcW w:w="3840" w:type="dxa"/>
            <w:tcBorders>
              <w:top w:val="nil"/>
              <w:left w:val="single" w:color="auto" w:sz="4" w:space="0"/>
              <w:bottom w:val="single" w:color="auto" w:sz="4" w:space="0"/>
              <w:right w:val="single" w:color="auto" w:sz="4" w:space="0"/>
            </w:tcBorders>
            <w:shd w:val="clear" w:color="000000" w:fill="203764"/>
            <w:noWrap/>
            <w:vAlign w:val="bottom"/>
          </w:tcPr>
          <w:p w14:paraId="1F09FB6B">
            <w:pPr>
              <w:spacing w:after="0" w:line="240" w:lineRule="auto"/>
              <w:rPr>
                <w:rFonts w:ascii="Calibri" w:hAnsi="Calibri" w:eastAsia="Times New Roman" w:cs="Times New Roman"/>
                <w:color w:val="FFFFFF" w:themeColor="background1"/>
                <w:lang w:eastAsia="es-MX"/>
                <w14:textFill>
                  <w14:solidFill>
                    <w14:schemeClr w14:val="bg1"/>
                  </w14:solidFill>
                </w14:textFill>
              </w:rPr>
            </w:pPr>
            <w:r>
              <w:rPr>
                <w:rFonts w:ascii="Calibri" w:hAnsi="Calibri" w:eastAsia="Times New Roman" w:cs="Times New Roman"/>
                <w:color w:val="FFFFFF" w:themeColor="background1"/>
                <w:lang w:eastAsia="es-MX"/>
                <w14:textFill>
                  <w14:solidFill>
                    <w14:schemeClr w14:val="bg1"/>
                  </w14:solidFill>
                </w14:textFill>
              </w:rPr>
              <w:t>RECURSOS TECNOLOGICOS</w:t>
            </w:r>
          </w:p>
        </w:tc>
        <w:tc>
          <w:tcPr>
            <w:tcW w:w="5799" w:type="dxa"/>
            <w:tcBorders>
              <w:top w:val="nil"/>
              <w:left w:val="nil"/>
              <w:bottom w:val="single" w:color="auto" w:sz="4" w:space="0"/>
              <w:right w:val="single" w:color="auto" w:sz="4" w:space="0"/>
            </w:tcBorders>
            <w:shd w:val="clear" w:color="auto" w:fill="auto"/>
            <w:vAlign w:val="bottom"/>
          </w:tcPr>
          <w:p w14:paraId="5D9E47F6">
            <w:pPr>
              <w:spacing w:after="0" w:line="240" w:lineRule="auto"/>
              <w:rPr>
                <w:rFonts w:ascii="Calibri" w:hAnsi="Calibri" w:eastAsia="Times New Roman" w:cs="Times New Roman"/>
                <w:color w:val="000000"/>
                <w:lang w:eastAsia="es-MX"/>
              </w:rPr>
            </w:pPr>
            <w:r>
              <w:rPr>
                <w:rFonts w:ascii="Calibri" w:hAnsi="Calibri" w:eastAsia="Times New Roman" w:cs="Times New Roman"/>
                <w:color w:val="000000"/>
                <w:lang w:eastAsia="es-MX"/>
              </w:rPr>
              <w:t>Equipos de cómputo para todo el personal,  copiadora, pesa, escáner, Internet, acceso a plataformas como Microsoft Teams.</w:t>
            </w:r>
          </w:p>
        </w:tc>
      </w:tr>
      <w:tr w14:paraId="616DB1B7">
        <w:tblPrEx>
          <w:tblCellMar>
            <w:top w:w="0" w:type="dxa"/>
            <w:left w:w="70" w:type="dxa"/>
            <w:bottom w:w="0" w:type="dxa"/>
            <w:right w:w="70" w:type="dxa"/>
          </w:tblCellMar>
        </w:tblPrEx>
        <w:trPr>
          <w:trHeight w:val="1574" w:hRule="atLeast"/>
        </w:trPr>
        <w:tc>
          <w:tcPr>
            <w:tcW w:w="3840" w:type="dxa"/>
            <w:tcBorders>
              <w:top w:val="nil"/>
              <w:left w:val="single" w:color="auto" w:sz="4" w:space="0"/>
              <w:bottom w:val="single" w:color="auto" w:sz="4" w:space="0"/>
              <w:right w:val="single" w:color="auto" w:sz="4" w:space="0"/>
            </w:tcBorders>
            <w:shd w:val="clear" w:color="000000" w:fill="203764"/>
            <w:noWrap/>
            <w:vAlign w:val="bottom"/>
          </w:tcPr>
          <w:p w14:paraId="3B82E6CE">
            <w:pPr>
              <w:spacing w:after="0" w:line="240" w:lineRule="auto"/>
              <w:rPr>
                <w:rFonts w:ascii="Calibri" w:hAnsi="Calibri" w:eastAsia="Times New Roman" w:cs="Times New Roman"/>
                <w:color w:val="FFFFFF" w:themeColor="background1"/>
                <w:lang w:eastAsia="es-MX"/>
                <w14:textFill>
                  <w14:solidFill>
                    <w14:schemeClr w14:val="bg1"/>
                  </w14:solidFill>
                </w14:textFill>
              </w:rPr>
            </w:pPr>
            <w:r>
              <w:rPr>
                <w:rFonts w:ascii="Calibri" w:hAnsi="Calibri" w:eastAsia="Times New Roman" w:cs="Times New Roman"/>
                <w:color w:val="FFFFFF" w:themeColor="background1"/>
                <w:lang w:eastAsia="es-MX"/>
                <w14:textFill>
                  <w14:solidFill>
                    <w14:schemeClr w14:val="bg1"/>
                  </w14:solidFill>
                </w14:textFill>
              </w:rPr>
              <w:t>RECURSOS MATERIALES</w:t>
            </w:r>
          </w:p>
        </w:tc>
        <w:tc>
          <w:tcPr>
            <w:tcW w:w="5799" w:type="dxa"/>
            <w:tcBorders>
              <w:top w:val="nil"/>
              <w:left w:val="nil"/>
              <w:bottom w:val="single" w:color="auto" w:sz="4" w:space="0"/>
              <w:right w:val="single" w:color="auto" w:sz="4" w:space="0"/>
            </w:tcBorders>
            <w:shd w:val="clear" w:color="auto" w:fill="auto"/>
            <w:vAlign w:val="bottom"/>
          </w:tcPr>
          <w:p w14:paraId="5C5B22FC">
            <w:pPr>
              <w:spacing w:after="0" w:line="240" w:lineRule="auto"/>
              <w:rPr>
                <w:rFonts w:ascii="Calibri" w:hAnsi="Calibri" w:eastAsia="Times New Roman" w:cs="Times New Roman"/>
                <w:color w:val="000000"/>
                <w:lang w:eastAsia="es-MX"/>
              </w:rPr>
            </w:pPr>
            <w:r>
              <w:rPr>
                <w:rFonts w:ascii="Calibri" w:hAnsi="Calibri" w:eastAsia="Times New Roman" w:cs="Times New Roman"/>
                <w:color w:val="000000"/>
                <w:lang w:eastAsia="es-MX"/>
              </w:rPr>
              <w:t>Para el desarrollo de actividades no es necesario programar recursos financieros</w:t>
            </w:r>
          </w:p>
        </w:tc>
      </w:tr>
    </w:tbl>
    <w:p w14:paraId="4E536159">
      <w:pPr>
        <w:jc w:val="both"/>
      </w:pPr>
    </w:p>
    <w:p w14:paraId="759DDAAE">
      <w:pPr>
        <w:jc w:val="both"/>
        <w:rPr>
          <w:b/>
          <w:sz w:val="32"/>
          <w:szCs w:val="32"/>
        </w:rPr>
        <w:sectPr>
          <w:headerReference r:id="rId5" w:type="default"/>
          <w:footerReference r:id="rId6" w:type="default"/>
          <w:pgSz w:w="12240" w:h="15840"/>
          <w:pgMar w:top="1701" w:right="1418" w:bottom="1701" w:left="1418" w:header="709" w:footer="709" w:gutter="0"/>
          <w:cols w:space="708" w:num="1"/>
          <w:docGrid w:linePitch="360" w:charSpace="0"/>
        </w:sectPr>
      </w:pPr>
    </w:p>
    <w:p w14:paraId="5A5C5A6A">
      <w:pPr>
        <w:jc w:val="both"/>
        <w:rPr>
          <w:b/>
          <w:sz w:val="32"/>
          <w:szCs w:val="32"/>
        </w:rPr>
      </w:pPr>
    </w:p>
    <w:p w14:paraId="30DDE92B">
      <w:pPr>
        <w:jc w:val="both"/>
        <w:rPr>
          <w:b/>
          <w:sz w:val="32"/>
          <w:szCs w:val="32"/>
        </w:rPr>
      </w:pPr>
    </w:p>
    <w:p w14:paraId="5F0A8B49">
      <w:pPr>
        <w:jc w:val="both"/>
        <w:rPr>
          <w:b/>
          <w:sz w:val="32"/>
          <w:szCs w:val="32"/>
        </w:rPr>
      </w:pPr>
      <w:r>
        <w:rPr>
          <w:b/>
          <w:sz w:val="32"/>
          <w:szCs w:val="32"/>
        </w:rPr>
        <w:t>4.4 Cronograma de Actividades</w:t>
      </w:r>
    </w:p>
    <w:tbl>
      <w:tblPr>
        <w:tblStyle w:val="10"/>
        <w:tblW w:w="12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1122"/>
        <w:gridCol w:w="714"/>
        <w:gridCol w:w="920"/>
        <w:gridCol w:w="749"/>
        <w:gridCol w:w="1060"/>
        <w:gridCol w:w="734"/>
        <w:gridCol w:w="713"/>
        <w:gridCol w:w="821"/>
        <w:gridCol w:w="714"/>
        <w:gridCol w:w="753"/>
        <w:gridCol w:w="823"/>
        <w:gridCol w:w="713"/>
      </w:tblGrid>
      <w:tr w14:paraId="3441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shd w:val="clear" w:color="auto" w:fill="1F4E79" w:themeFill="accent1" w:themeFillShade="80"/>
          </w:tcPr>
          <w:p w14:paraId="309574C8">
            <w:pPr>
              <w:jc w:val="center"/>
              <w:rPr>
                <w:b/>
                <w:color w:val="F2F2F2" w:themeColor="background1" w:themeShade="F2"/>
              </w:rPr>
            </w:pPr>
            <w:r>
              <w:rPr>
                <w:b/>
                <w:color w:val="F2F2F2" w:themeColor="background1" w:themeShade="F2"/>
              </w:rPr>
              <w:t>ACTIVIDAD</w:t>
            </w:r>
          </w:p>
        </w:tc>
        <w:tc>
          <w:tcPr>
            <w:tcW w:w="1129" w:type="dxa"/>
            <w:shd w:val="clear" w:color="auto" w:fill="1F4E79" w:themeFill="accent1" w:themeFillShade="80"/>
          </w:tcPr>
          <w:p w14:paraId="422316A0">
            <w:pPr>
              <w:jc w:val="center"/>
              <w:rPr>
                <w:b/>
                <w:color w:val="F2F2F2" w:themeColor="background1" w:themeShade="F2"/>
              </w:rPr>
            </w:pPr>
            <w:r>
              <w:rPr>
                <w:b/>
                <w:color w:val="F2F2F2" w:themeColor="background1" w:themeShade="F2"/>
              </w:rPr>
              <w:t>ENERO</w:t>
            </w:r>
          </w:p>
        </w:tc>
        <w:tc>
          <w:tcPr>
            <w:tcW w:w="718" w:type="dxa"/>
            <w:shd w:val="clear" w:color="auto" w:fill="1F4E79" w:themeFill="accent1" w:themeFillShade="80"/>
          </w:tcPr>
          <w:p w14:paraId="45A27ECF">
            <w:pPr>
              <w:jc w:val="center"/>
              <w:rPr>
                <w:b/>
                <w:color w:val="F2F2F2" w:themeColor="background1" w:themeShade="F2"/>
              </w:rPr>
            </w:pPr>
            <w:r>
              <w:rPr>
                <w:b/>
                <w:color w:val="F2F2F2" w:themeColor="background1" w:themeShade="F2"/>
              </w:rPr>
              <w:t>FEB</w:t>
            </w:r>
          </w:p>
        </w:tc>
        <w:tc>
          <w:tcPr>
            <w:tcW w:w="920" w:type="dxa"/>
            <w:shd w:val="clear" w:color="auto" w:fill="1F4E79" w:themeFill="accent1" w:themeFillShade="80"/>
          </w:tcPr>
          <w:p w14:paraId="51BEA4D7">
            <w:pPr>
              <w:jc w:val="center"/>
              <w:rPr>
                <w:b/>
                <w:color w:val="F2F2F2" w:themeColor="background1" w:themeShade="F2"/>
              </w:rPr>
            </w:pPr>
            <w:r>
              <w:rPr>
                <w:b/>
                <w:color w:val="F2F2F2" w:themeColor="background1" w:themeShade="F2"/>
              </w:rPr>
              <w:t>MARZO</w:t>
            </w:r>
          </w:p>
        </w:tc>
        <w:tc>
          <w:tcPr>
            <w:tcW w:w="664" w:type="dxa"/>
            <w:shd w:val="clear" w:color="auto" w:fill="1F4E79" w:themeFill="accent1" w:themeFillShade="80"/>
          </w:tcPr>
          <w:p w14:paraId="4B68D565">
            <w:pPr>
              <w:jc w:val="center"/>
              <w:rPr>
                <w:b/>
                <w:color w:val="F2F2F2" w:themeColor="background1" w:themeShade="F2"/>
              </w:rPr>
            </w:pPr>
            <w:r>
              <w:rPr>
                <w:b/>
                <w:color w:val="F2F2F2" w:themeColor="background1" w:themeShade="F2"/>
              </w:rPr>
              <w:t>ABRIL</w:t>
            </w:r>
          </w:p>
        </w:tc>
        <w:tc>
          <w:tcPr>
            <w:tcW w:w="1067" w:type="dxa"/>
            <w:shd w:val="clear" w:color="auto" w:fill="1F4E79" w:themeFill="accent1" w:themeFillShade="80"/>
          </w:tcPr>
          <w:p w14:paraId="6F2E73ED">
            <w:pPr>
              <w:jc w:val="center"/>
              <w:rPr>
                <w:b/>
                <w:color w:val="F2F2F2" w:themeColor="background1" w:themeShade="F2"/>
              </w:rPr>
            </w:pPr>
            <w:r>
              <w:rPr>
                <w:b/>
                <w:color w:val="F2F2F2" w:themeColor="background1" w:themeShade="F2"/>
              </w:rPr>
              <w:t>MAYO</w:t>
            </w:r>
          </w:p>
        </w:tc>
        <w:tc>
          <w:tcPr>
            <w:tcW w:w="738" w:type="dxa"/>
            <w:shd w:val="clear" w:color="auto" w:fill="1F4E79" w:themeFill="accent1" w:themeFillShade="80"/>
          </w:tcPr>
          <w:p w14:paraId="0EAFBB9F">
            <w:pPr>
              <w:jc w:val="center"/>
              <w:rPr>
                <w:b/>
                <w:color w:val="F2F2F2" w:themeColor="background1" w:themeShade="F2"/>
              </w:rPr>
            </w:pPr>
            <w:r>
              <w:rPr>
                <w:b/>
                <w:color w:val="F2F2F2" w:themeColor="background1" w:themeShade="F2"/>
              </w:rPr>
              <w:t>JUN</w:t>
            </w:r>
          </w:p>
        </w:tc>
        <w:tc>
          <w:tcPr>
            <w:tcW w:w="718" w:type="dxa"/>
            <w:shd w:val="clear" w:color="auto" w:fill="1F4E79" w:themeFill="accent1" w:themeFillShade="80"/>
          </w:tcPr>
          <w:p w14:paraId="39D20F39">
            <w:pPr>
              <w:jc w:val="center"/>
              <w:rPr>
                <w:b/>
                <w:color w:val="F2F2F2" w:themeColor="background1" w:themeShade="F2"/>
              </w:rPr>
            </w:pPr>
            <w:r>
              <w:rPr>
                <w:b/>
                <w:color w:val="F2F2F2" w:themeColor="background1" w:themeShade="F2"/>
              </w:rPr>
              <w:t>JUL</w:t>
            </w:r>
          </w:p>
        </w:tc>
        <w:tc>
          <w:tcPr>
            <w:tcW w:w="826" w:type="dxa"/>
            <w:shd w:val="clear" w:color="auto" w:fill="1F4E79" w:themeFill="accent1" w:themeFillShade="80"/>
          </w:tcPr>
          <w:p w14:paraId="6F1026B7">
            <w:pPr>
              <w:jc w:val="center"/>
              <w:rPr>
                <w:b/>
                <w:color w:val="F2F2F2" w:themeColor="background1" w:themeShade="F2"/>
              </w:rPr>
            </w:pPr>
            <w:r>
              <w:rPr>
                <w:b/>
                <w:color w:val="F2F2F2" w:themeColor="background1" w:themeShade="F2"/>
              </w:rPr>
              <w:t>AGO</w:t>
            </w:r>
          </w:p>
        </w:tc>
        <w:tc>
          <w:tcPr>
            <w:tcW w:w="719" w:type="dxa"/>
            <w:shd w:val="clear" w:color="auto" w:fill="1F4E79" w:themeFill="accent1" w:themeFillShade="80"/>
          </w:tcPr>
          <w:p w14:paraId="4A13AB41">
            <w:pPr>
              <w:jc w:val="center"/>
              <w:rPr>
                <w:b/>
                <w:color w:val="F2F2F2" w:themeColor="background1" w:themeShade="F2"/>
              </w:rPr>
            </w:pPr>
            <w:r>
              <w:rPr>
                <w:b/>
                <w:color w:val="F2F2F2" w:themeColor="background1" w:themeShade="F2"/>
              </w:rPr>
              <w:t>SEP</w:t>
            </w:r>
          </w:p>
        </w:tc>
        <w:tc>
          <w:tcPr>
            <w:tcW w:w="757" w:type="dxa"/>
            <w:shd w:val="clear" w:color="auto" w:fill="1F4E79" w:themeFill="accent1" w:themeFillShade="80"/>
          </w:tcPr>
          <w:p w14:paraId="446B3899">
            <w:pPr>
              <w:jc w:val="center"/>
              <w:rPr>
                <w:b/>
                <w:color w:val="F2F2F2" w:themeColor="background1" w:themeShade="F2"/>
              </w:rPr>
            </w:pPr>
            <w:r>
              <w:rPr>
                <w:b/>
                <w:color w:val="F2F2F2" w:themeColor="background1" w:themeShade="F2"/>
              </w:rPr>
              <w:t>OCT</w:t>
            </w:r>
          </w:p>
        </w:tc>
        <w:tc>
          <w:tcPr>
            <w:tcW w:w="828" w:type="dxa"/>
            <w:shd w:val="clear" w:color="auto" w:fill="1F4E79" w:themeFill="accent1" w:themeFillShade="80"/>
          </w:tcPr>
          <w:p w14:paraId="3A21597A">
            <w:pPr>
              <w:jc w:val="center"/>
              <w:rPr>
                <w:b/>
                <w:color w:val="F2F2F2" w:themeColor="background1" w:themeShade="F2"/>
              </w:rPr>
            </w:pPr>
            <w:r>
              <w:rPr>
                <w:b/>
                <w:color w:val="F2F2F2" w:themeColor="background1" w:themeShade="F2"/>
              </w:rPr>
              <w:t>NOV</w:t>
            </w:r>
          </w:p>
        </w:tc>
        <w:tc>
          <w:tcPr>
            <w:tcW w:w="718" w:type="dxa"/>
            <w:shd w:val="clear" w:color="auto" w:fill="1F4E79" w:themeFill="accent1" w:themeFillShade="80"/>
          </w:tcPr>
          <w:p w14:paraId="2D3B3531">
            <w:pPr>
              <w:jc w:val="center"/>
              <w:rPr>
                <w:b/>
                <w:color w:val="F2F2F2" w:themeColor="background1" w:themeShade="F2"/>
              </w:rPr>
            </w:pPr>
            <w:r>
              <w:rPr>
                <w:b/>
                <w:color w:val="F2F2F2" w:themeColor="background1" w:themeShade="F2"/>
              </w:rPr>
              <w:t>DIC</w:t>
            </w:r>
          </w:p>
        </w:tc>
      </w:tr>
      <w:tr w14:paraId="37D0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54F5AEB5">
            <w:pPr>
              <w:jc w:val="both"/>
              <w:rPr>
                <w:b/>
              </w:rPr>
            </w:pPr>
            <w:r>
              <w:rPr>
                <w:rFonts w:eastAsia="Times New Roman" w:cs="Times New Roman"/>
                <w:color w:val="000000"/>
                <w:lang w:eastAsia="es-MX"/>
              </w:rPr>
              <w:t>1.- Mesas de trabajo, elaboración y revisión de fichas técnicas de valoración documental</w:t>
            </w:r>
          </w:p>
        </w:tc>
        <w:tc>
          <w:tcPr>
            <w:tcW w:w="1129" w:type="dxa"/>
          </w:tcPr>
          <w:p w14:paraId="11FE4152">
            <w:pPr>
              <w:jc w:val="both"/>
              <w:rPr>
                <w:b/>
              </w:rPr>
            </w:pPr>
          </w:p>
        </w:tc>
        <w:tc>
          <w:tcPr>
            <w:tcW w:w="718" w:type="dxa"/>
            <w:shd w:val="clear" w:color="auto" w:fill="1F4E79" w:themeFill="accent1" w:themeFillShade="80"/>
          </w:tcPr>
          <w:p w14:paraId="7B35A0CD">
            <w:pPr>
              <w:jc w:val="both"/>
              <w:rPr>
                <w:b/>
              </w:rPr>
            </w:pPr>
          </w:p>
        </w:tc>
        <w:tc>
          <w:tcPr>
            <w:tcW w:w="920" w:type="dxa"/>
            <w:shd w:val="clear" w:color="auto" w:fill="1F4E79" w:themeFill="accent1" w:themeFillShade="80"/>
          </w:tcPr>
          <w:p w14:paraId="6107ACD4">
            <w:pPr>
              <w:jc w:val="both"/>
              <w:rPr>
                <w:b/>
              </w:rPr>
            </w:pPr>
          </w:p>
        </w:tc>
        <w:tc>
          <w:tcPr>
            <w:tcW w:w="664" w:type="dxa"/>
          </w:tcPr>
          <w:p w14:paraId="6E61A463">
            <w:pPr>
              <w:jc w:val="both"/>
              <w:rPr>
                <w:b/>
              </w:rPr>
            </w:pPr>
          </w:p>
        </w:tc>
        <w:tc>
          <w:tcPr>
            <w:tcW w:w="1067" w:type="dxa"/>
            <w:shd w:val="clear" w:color="auto" w:fill="1F4E79" w:themeFill="accent1" w:themeFillShade="80"/>
          </w:tcPr>
          <w:p w14:paraId="1BB594D2">
            <w:pPr>
              <w:jc w:val="both"/>
              <w:rPr>
                <w:b/>
              </w:rPr>
            </w:pPr>
          </w:p>
        </w:tc>
        <w:tc>
          <w:tcPr>
            <w:tcW w:w="738" w:type="dxa"/>
            <w:shd w:val="clear" w:color="auto" w:fill="1F4E79" w:themeFill="accent1" w:themeFillShade="80"/>
          </w:tcPr>
          <w:p w14:paraId="61FCB571">
            <w:pPr>
              <w:jc w:val="both"/>
              <w:rPr>
                <w:b/>
              </w:rPr>
            </w:pPr>
          </w:p>
        </w:tc>
        <w:tc>
          <w:tcPr>
            <w:tcW w:w="718" w:type="dxa"/>
            <w:shd w:val="clear" w:color="auto" w:fill="FFFFFF" w:themeFill="background1"/>
          </w:tcPr>
          <w:p w14:paraId="48A72DF2">
            <w:pPr>
              <w:jc w:val="both"/>
              <w:rPr>
                <w:b/>
              </w:rPr>
            </w:pPr>
          </w:p>
        </w:tc>
        <w:tc>
          <w:tcPr>
            <w:tcW w:w="826" w:type="dxa"/>
            <w:shd w:val="clear" w:color="auto" w:fill="1F4E79" w:themeFill="accent1" w:themeFillShade="80"/>
          </w:tcPr>
          <w:p w14:paraId="01BEE2E6">
            <w:pPr>
              <w:jc w:val="both"/>
              <w:rPr>
                <w:b/>
              </w:rPr>
            </w:pPr>
          </w:p>
        </w:tc>
        <w:tc>
          <w:tcPr>
            <w:tcW w:w="719" w:type="dxa"/>
            <w:shd w:val="clear" w:color="auto" w:fill="1F4E79" w:themeFill="accent1" w:themeFillShade="80"/>
          </w:tcPr>
          <w:p w14:paraId="500B0284">
            <w:pPr>
              <w:jc w:val="both"/>
              <w:rPr>
                <w:b/>
              </w:rPr>
            </w:pPr>
          </w:p>
        </w:tc>
        <w:tc>
          <w:tcPr>
            <w:tcW w:w="757" w:type="dxa"/>
            <w:shd w:val="clear" w:color="auto" w:fill="FFFFFF" w:themeFill="background1"/>
          </w:tcPr>
          <w:p w14:paraId="12D63FBA">
            <w:pPr>
              <w:jc w:val="both"/>
              <w:rPr>
                <w:b/>
              </w:rPr>
            </w:pPr>
          </w:p>
        </w:tc>
        <w:tc>
          <w:tcPr>
            <w:tcW w:w="828" w:type="dxa"/>
            <w:shd w:val="clear" w:color="auto" w:fill="1F4E79" w:themeFill="accent1" w:themeFillShade="80"/>
          </w:tcPr>
          <w:p w14:paraId="567EFF00">
            <w:pPr>
              <w:jc w:val="both"/>
              <w:rPr>
                <w:b/>
              </w:rPr>
            </w:pPr>
          </w:p>
        </w:tc>
        <w:tc>
          <w:tcPr>
            <w:tcW w:w="718" w:type="dxa"/>
            <w:shd w:val="clear" w:color="auto" w:fill="1F4E79" w:themeFill="accent1" w:themeFillShade="80"/>
          </w:tcPr>
          <w:p w14:paraId="4EE04933">
            <w:pPr>
              <w:jc w:val="both"/>
              <w:rPr>
                <w:b/>
              </w:rPr>
            </w:pPr>
          </w:p>
        </w:tc>
      </w:tr>
      <w:tr w14:paraId="54D3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6E427E22">
            <w:pPr>
              <w:jc w:val="both"/>
              <w:rPr>
                <w:b/>
              </w:rPr>
            </w:pPr>
            <w:r>
              <w:rPr>
                <w:rFonts w:eastAsia="Times New Roman" w:cs="Times New Roman"/>
                <w:color w:val="000000"/>
                <w:lang w:eastAsia="es-MX"/>
              </w:rPr>
              <w:t>2.- Capacitación y asesorías de gestión documental y administración de los archivos a los responsables de los archivos de tramite</w:t>
            </w:r>
          </w:p>
        </w:tc>
        <w:tc>
          <w:tcPr>
            <w:tcW w:w="1129" w:type="dxa"/>
            <w:shd w:val="clear" w:color="auto" w:fill="FFFFFF" w:themeFill="background1"/>
          </w:tcPr>
          <w:p w14:paraId="31DF3F04">
            <w:pPr>
              <w:jc w:val="both"/>
              <w:rPr>
                <w:b/>
              </w:rPr>
            </w:pPr>
          </w:p>
        </w:tc>
        <w:tc>
          <w:tcPr>
            <w:tcW w:w="718" w:type="dxa"/>
            <w:shd w:val="clear" w:color="auto" w:fill="FFFFFF" w:themeFill="background1"/>
          </w:tcPr>
          <w:p w14:paraId="5A364DBE">
            <w:pPr>
              <w:jc w:val="both"/>
              <w:rPr>
                <w:b/>
              </w:rPr>
            </w:pPr>
          </w:p>
        </w:tc>
        <w:tc>
          <w:tcPr>
            <w:tcW w:w="920" w:type="dxa"/>
            <w:shd w:val="clear" w:color="auto" w:fill="1F4E79" w:themeFill="accent1" w:themeFillShade="80"/>
          </w:tcPr>
          <w:p w14:paraId="5AD64A07">
            <w:pPr>
              <w:jc w:val="both"/>
              <w:rPr>
                <w:b/>
              </w:rPr>
            </w:pPr>
          </w:p>
        </w:tc>
        <w:tc>
          <w:tcPr>
            <w:tcW w:w="664" w:type="dxa"/>
            <w:shd w:val="clear" w:color="auto" w:fill="FFFFFF" w:themeFill="background1"/>
          </w:tcPr>
          <w:p w14:paraId="6039CADC">
            <w:pPr>
              <w:jc w:val="both"/>
              <w:rPr>
                <w:b/>
              </w:rPr>
            </w:pPr>
          </w:p>
        </w:tc>
        <w:tc>
          <w:tcPr>
            <w:tcW w:w="1067" w:type="dxa"/>
            <w:shd w:val="clear" w:color="auto" w:fill="1F4E79" w:themeFill="accent1" w:themeFillShade="80"/>
          </w:tcPr>
          <w:p w14:paraId="39948DEE">
            <w:pPr>
              <w:jc w:val="both"/>
              <w:rPr>
                <w:b/>
              </w:rPr>
            </w:pPr>
          </w:p>
        </w:tc>
        <w:tc>
          <w:tcPr>
            <w:tcW w:w="738" w:type="dxa"/>
            <w:shd w:val="clear" w:color="auto" w:fill="FFFFFF" w:themeFill="background1"/>
          </w:tcPr>
          <w:p w14:paraId="2098457C">
            <w:pPr>
              <w:jc w:val="both"/>
              <w:rPr>
                <w:b/>
              </w:rPr>
            </w:pPr>
          </w:p>
        </w:tc>
        <w:tc>
          <w:tcPr>
            <w:tcW w:w="718" w:type="dxa"/>
            <w:shd w:val="clear" w:color="auto" w:fill="1F4E79" w:themeFill="accent1" w:themeFillShade="80"/>
          </w:tcPr>
          <w:p w14:paraId="2AC5B0C2">
            <w:pPr>
              <w:jc w:val="both"/>
              <w:rPr>
                <w:b/>
              </w:rPr>
            </w:pPr>
          </w:p>
        </w:tc>
        <w:tc>
          <w:tcPr>
            <w:tcW w:w="826" w:type="dxa"/>
            <w:shd w:val="clear" w:color="auto" w:fill="FFFFFF" w:themeFill="background1"/>
          </w:tcPr>
          <w:p w14:paraId="613477DC">
            <w:pPr>
              <w:jc w:val="both"/>
              <w:rPr>
                <w:b/>
              </w:rPr>
            </w:pPr>
          </w:p>
        </w:tc>
        <w:tc>
          <w:tcPr>
            <w:tcW w:w="719" w:type="dxa"/>
            <w:shd w:val="clear" w:color="auto" w:fill="1F4E79" w:themeFill="accent1" w:themeFillShade="80"/>
          </w:tcPr>
          <w:p w14:paraId="5CE14DBB">
            <w:pPr>
              <w:jc w:val="both"/>
              <w:rPr>
                <w:b/>
              </w:rPr>
            </w:pPr>
          </w:p>
        </w:tc>
        <w:tc>
          <w:tcPr>
            <w:tcW w:w="757" w:type="dxa"/>
            <w:shd w:val="clear" w:color="auto" w:fill="FFFFFF" w:themeFill="background1"/>
          </w:tcPr>
          <w:p w14:paraId="6AA61B3E">
            <w:pPr>
              <w:jc w:val="both"/>
              <w:rPr>
                <w:b/>
              </w:rPr>
            </w:pPr>
          </w:p>
        </w:tc>
        <w:tc>
          <w:tcPr>
            <w:tcW w:w="828" w:type="dxa"/>
            <w:shd w:val="clear" w:color="auto" w:fill="1F4E79" w:themeFill="accent1" w:themeFillShade="80"/>
          </w:tcPr>
          <w:p w14:paraId="24CEEF43">
            <w:pPr>
              <w:jc w:val="both"/>
              <w:rPr>
                <w:b/>
              </w:rPr>
            </w:pPr>
          </w:p>
        </w:tc>
        <w:tc>
          <w:tcPr>
            <w:tcW w:w="718" w:type="dxa"/>
            <w:shd w:val="clear" w:color="auto" w:fill="FFFFFF" w:themeFill="background1"/>
          </w:tcPr>
          <w:p w14:paraId="6EF9667E">
            <w:pPr>
              <w:jc w:val="both"/>
              <w:rPr>
                <w:b/>
              </w:rPr>
            </w:pPr>
          </w:p>
        </w:tc>
      </w:tr>
      <w:tr w14:paraId="0D8A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27363975">
            <w:pPr>
              <w:jc w:val="both"/>
              <w:rPr>
                <w:b/>
              </w:rPr>
            </w:pPr>
            <w:r>
              <w:rPr>
                <w:rFonts w:eastAsia="Times New Roman" w:cs="Times New Roman"/>
                <w:color w:val="000000"/>
                <w:lang w:eastAsia="es-MX"/>
              </w:rPr>
              <w:t>3.- Elaboración de notas de valoración, inventarios de baja documental y transferencia primaria</w:t>
            </w:r>
          </w:p>
        </w:tc>
        <w:tc>
          <w:tcPr>
            <w:tcW w:w="1129" w:type="dxa"/>
            <w:shd w:val="clear" w:color="auto" w:fill="FFFFFF" w:themeFill="background1"/>
          </w:tcPr>
          <w:p w14:paraId="145674E1">
            <w:pPr>
              <w:jc w:val="both"/>
              <w:rPr>
                <w:b/>
              </w:rPr>
            </w:pPr>
          </w:p>
        </w:tc>
        <w:tc>
          <w:tcPr>
            <w:tcW w:w="718" w:type="dxa"/>
          </w:tcPr>
          <w:p w14:paraId="3407CBD5">
            <w:pPr>
              <w:jc w:val="both"/>
              <w:rPr>
                <w:b/>
              </w:rPr>
            </w:pPr>
          </w:p>
        </w:tc>
        <w:tc>
          <w:tcPr>
            <w:tcW w:w="920" w:type="dxa"/>
            <w:shd w:val="clear" w:color="auto" w:fill="1F4E79" w:themeFill="accent1" w:themeFillShade="80"/>
          </w:tcPr>
          <w:p w14:paraId="43AADFF2">
            <w:pPr>
              <w:jc w:val="both"/>
              <w:rPr>
                <w:b/>
              </w:rPr>
            </w:pPr>
          </w:p>
        </w:tc>
        <w:tc>
          <w:tcPr>
            <w:tcW w:w="664" w:type="dxa"/>
            <w:shd w:val="clear" w:color="auto" w:fill="FFFFFF" w:themeFill="background1"/>
          </w:tcPr>
          <w:p w14:paraId="20022865">
            <w:pPr>
              <w:jc w:val="both"/>
              <w:rPr>
                <w:b/>
              </w:rPr>
            </w:pPr>
          </w:p>
        </w:tc>
        <w:tc>
          <w:tcPr>
            <w:tcW w:w="1067" w:type="dxa"/>
            <w:shd w:val="clear" w:color="auto" w:fill="FFFFFF" w:themeFill="background1"/>
          </w:tcPr>
          <w:p w14:paraId="45987B12">
            <w:pPr>
              <w:jc w:val="both"/>
              <w:rPr>
                <w:b/>
              </w:rPr>
            </w:pPr>
          </w:p>
        </w:tc>
        <w:tc>
          <w:tcPr>
            <w:tcW w:w="738" w:type="dxa"/>
            <w:shd w:val="clear" w:color="auto" w:fill="1F4E79" w:themeFill="accent1" w:themeFillShade="80"/>
          </w:tcPr>
          <w:p w14:paraId="163336D7">
            <w:pPr>
              <w:jc w:val="both"/>
              <w:rPr>
                <w:b/>
              </w:rPr>
            </w:pPr>
          </w:p>
        </w:tc>
        <w:tc>
          <w:tcPr>
            <w:tcW w:w="718" w:type="dxa"/>
            <w:shd w:val="clear" w:color="auto" w:fill="FFFFFF" w:themeFill="background1"/>
          </w:tcPr>
          <w:p w14:paraId="1EF5C4B2">
            <w:pPr>
              <w:jc w:val="both"/>
              <w:rPr>
                <w:b/>
              </w:rPr>
            </w:pPr>
          </w:p>
        </w:tc>
        <w:tc>
          <w:tcPr>
            <w:tcW w:w="826" w:type="dxa"/>
            <w:shd w:val="clear" w:color="auto" w:fill="FFFFFF" w:themeFill="background1"/>
          </w:tcPr>
          <w:p w14:paraId="736B0B9A">
            <w:pPr>
              <w:jc w:val="both"/>
              <w:rPr>
                <w:b/>
              </w:rPr>
            </w:pPr>
          </w:p>
        </w:tc>
        <w:tc>
          <w:tcPr>
            <w:tcW w:w="719" w:type="dxa"/>
            <w:shd w:val="clear" w:color="auto" w:fill="1F4E79" w:themeFill="accent1" w:themeFillShade="80"/>
          </w:tcPr>
          <w:p w14:paraId="6B8A5AA3">
            <w:pPr>
              <w:jc w:val="both"/>
              <w:rPr>
                <w:b/>
              </w:rPr>
            </w:pPr>
          </w:p>
        </w:tc>
        <w:tc>
          <w:tcPr>
            <w:tcW w:w="757" w:type="dxa"/>
            <w:shd w:val="clear" w:color="auto" w:fill="FFFFFF" w:themeFill="background1"/>
          </w:tcPr>
          <w:p w14:paraId="5F0B35E9">
            <w:pPr>
              <w:jc w:val="both"/>
              <w:rPr>
                <w:b/>
              </w:rPr>
            </w:pPr>
          </w:p>
        </w:tc>
        <w:tc>
          <w:tcPr>
            <w:tcW w:w="828" w:type="dxa"/>
            <w:shd w:val="clear" w:color="auto" w:fill="1F4E79" w:themeFill="accent1" w:themeFillShade="80"/>
          </w:tcPr>
          <w:p w14:paraId="72FDAE9B">
            <w:pPr>
              <w:jc w:val="both"/>
              <w:rPr>
                <w:b/>
              </w:rPr>
            </w:pPr>
          </w:p>
        </w:tc>
        <w:tc>
          <w:tcPr>
            <w:tcW w:w="718" w:type="dxa"/>
            <w:shd w:val="clear" w:color="auto" w:fill="1F4E79" w:themeFill="accent1" w:themeFillShade="80"/>
          </w:tcPr>
          <w:p w14:paraId="77FAE095">
            <w:pPr>
              <w:jc w:val="both"/>
              <w:rPr>
                <w:b/>
              </w:rPr>
            </w:pPr>
          </w:p>
        </w:tc>
      </w:tr>
      <w:tr w14:paraId="7427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542A38AD">
            <w:pPr>
              <w:jc w:val="both"/>
              <w:rPr>
                <w:b/>
                <w:sz w:val="32"/>
                <w:szCs w:val="32"/>
              </w:rPr>
            </w:pPr>
            <w:r>
              <w:rPr>
                <w:rFonts w:ascii="Calibri" w:hAnsi="Calibri" w:eastAsia="Times New Roman" w:cs="Times New Roman"/>
                <w:color w:val="000000"/>
                <w:lang w:eastAsia="es-MX"/>
              </w:rPr>
              <w:t>3.1Recepción de transferencias primarias</w:t>
            </w:r>
          </w:p>
        </w:tc>
        <w:tc>
          <w:tcPr>
            <w:tcW w:w="1129" w:type="dxa"/>
          </w:tcPr>
          <w:p w14:paraId="455E0C9A">
            <w:pPr>
              <w:jc w:val="both"/>
              <w:rPr>
                <w:b/>
                <w:sz w:val="32"/>
                <w:szCs w:val="32"/>
              </w:rPr>
            </w:pPr>
          </w:p>
        </w:tc>
        <w:tc>
          <w:tcPr>
            <w:tcW w:w="718" w:type="dxa"/>
          </w:tcPr>
          <w:p w14:paraId="37AD7F86">
            <w:pPr>
              <w:jc w:val="both"/>
              <w:rPr>
                <w:b/>
                <w:sz w:val="32"/>
                <w:szCs w:val="32"/>
              </w:rPr>
            </w:pPr>
          </w:p>
        </w:tc>
        <w:tc>
          <w:tcPr>
            <w:tcW w:w="920" w:type="dxa"/>
          </w:tcPr>
          <w:p w14:paraId="1F3C0844">
            <w:pPr>
              <w:jc w:val="both"/>
              <w:rPr>
                <w:b/>
                <w:sz w:val="32"/>
                <w:szCs w:val="32"/>
              </w:rPr>
            </w:pPr>
          </w:p>
        </w:tc>
        <w:tc>
          <w:tcPr>
            <w:tcW w:w="664" w:type="dxa"/>
          </w:tcPr>
          <w:p w14:paraId="20530E9C">
            <w:pPr>
              <w:jc w:val="both"/>
              <w:rPr>
                <w:b/>
                <w:sz w:val="32"/>
                <w:szCs w:val="32"/>
              </w:rPr>
            </w:pPr>
          </w:p>
        </w:tc>
        <w:tc>
          <w:tcPr>
            <w:tcW w:w="1067" w:type="dxa"/>
            <w:shd w:val="clear" w:color="auto" w:fill="1F4E79" w:themeFill="accent1" w:themeFillShade="80"/>
          </w:tcPr>
          <w:p w14:paraId="465F4F09">
            <w:pPr>
              <w:jc w:val="both"/>
              <w:rPr>
                <w:b/>
                <w:sz w:val="32"/>
                <w:szCs w:val="32"/>
              </w:rPr>
            </w:pPr>
          </w:p>
        </w:tc>
        <w:tc>
          <w:tcPr>
            <w:tcW w:w="738" w:type="dxa"/>
            <w:shd w:val="clear" w:color="auto" w:fill="1F4E79" w:themeFill="accent1" w:themeFillShade="80"/>
          </w:tcPr>
          <w:p w14:paraId="3D3D306B">
            <w:pPr>
              <w:jc w:val="both"/>
              <w:rPr>
                <w:b/>
                <w:sz w:val="32"/>
                <w:szCs w:val="32"/>
              </w:rPr>
            </w:pPr>
          </w:p>
        </w:tc>
        <w:tc>
          <w:tcPr>
            <w:tcW w:w="718" w:type="dxa"/>
            <w:shd w:val="clear" w:color="auto" w:fill="1F4E79" w:themeFill="accent1" w:themeFillShade="80"/>
          </w:tcPr>
          <w:p w14:paraId="47D2DBF7">
            <w:pPr>
              <w:jc w:val="both"/>
              <w:rPr>
                <w:b/>
                <w:sz w:val="32"/>
                <w:szCs w:val="32"/>
              </w:rPr>
            </w:pPr>
          </w:p>
        </w:tc>
        <w:tc>
          <w:tcPr>
            <w:tcW w:w="826" w:type="dxa"/>
            <w:shd w:val="clear" w:color="auto" w:fill="1F4E79" w:themeFill="accent1" w:themeFillShade="80"/>
          </w:tcPr>
          <w:p w14:paraId="1F38106A">
            <w:pPr>
              <w:jc w:val="both"/>
              <w:rPr>
                <w:b/>
                <w:sz w:val="32"/>
                <w:szCs w:val="32"/>
              </w:rPr>
            </w:pPr>
          </w:p>
        </w:tc>
        <w:tc>
          <w:tcPr>
            <w:tcW w:w="719" w:type="dxa"/>
            <w:shd w:val="clear" w:color="auto" w:fill="1F4E79" w:themeFill="accent1" w:themeFillShade="80"/>
          </w:tcPr>
          <w:p w14:paraId="0374D114">
            <w:pPr>
              <w:jc w:val="both"/>
              <w:rPr>
                <w:b/>
                <w:sz w:val="32"/>
                <w:szCs w:val="32"/>
              </w:rPr>
            </w:pPr>
          </w:p>
        </w:tc>
        <w:tc>
          <w:tcPr>
            <w:tcW w:w="757" w:type="dxa"/>
          </w:tcPr>
          <w:p w14:paraId="11C0AA74">
            <w:pPr>
              <w:jc w:val="both"/>
              <w:rPr>
                <w:b/>
                <w:sz w:val="32"/>
                <w:szCs w:val="32"/>
              </w:rPr>
            </w:pPr>
          </w:p>
        </w:tc>
        <w:tc>
          <w:tcPr>
            <w:tcW w:w="828" w:type="dxa"/>
          </w:tcPr>
          <w:p w14:paraId="201DC874">
            <w:pPr>
              <w:jc w:val="both"/>
              <w:rPr>
                <w:b/>
                <w:sz w:val="32"/>
                <w:szCs w:val="32"/>
              </w:rPr>
            </w:pPr>
          </w:p>
        </w:tc>
        <w:tc>
          <w:tcPr>
            <w:tcW w:w="718" w:type="dxa"/>
          </w:tcPr>
          <w:p w14:paraId="723F3CC3">
            <w:pPr>
              <w:jc w:val="both"/>
              <w:rPr>
                <w:b/>
                <w:sz w:val="32"/>
                <w:szCs w:val="32"/>
              </w:rPr>
            </w:pPr>
          </w:p>
        </w:tc>
      </w:tr>
      <w:tr w14:paraId="47FE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7FD78852">
            <w:pPr>
              <w:jc w:val="both"/>
              <w:rPr>
                <w:b/>
                <w:sz w:val="32"/>
                <w:szCs w:val="32"/>
              </w:rPr>
            </w:pPr>
            <w:r>
              <w:rPr>
                <w:rFonts w:ascii="Calibri" w:hAnsi="Calibri" w:eastAsia="Times New Roman" w:cs="Times New Roman"/>
                <w:color w:val="000000"/>
                <w:lang w:eastAsia="es-MX"/>
              </w:rPr>
              <w:t>3.2 Préstamo y consulta de expedientes</w:t>
            </w:r>
          </w:p>
        </w:tc>
        <w:tc>
          <w:tcPr>
            <w:tcW w:w="1129" w:type="dxa"/>
            <w:shd w:val="clear" w:color="auto" w:fill="1F4E79" w:themeFill="accent1" w:themeFillShade="80"/>
          </w:tcPr>
          <w:p w14:paraId="74562171">
            <w:pPr>
              <w:jc w:val="both"/>
              <w:rPr>
                <w:b/>
                <w:sz w:val="32"/>
                <w:szCs w:val="32"/>
              </w:rPr>
            </w:pPr>
          </w:p>
        </w:tc>
        <w:tc>
          <w:tcPr>
            <w:tcW w:w="718" w:type="dxa"/>
            <w:shd w:val="clear" w:color="auto" w:fill="1F4E79" w:themeFill="accent1" w:themeFillShade="80"/>
          </w:tcPr>
          <w:p w14:paraId="79F25491">
            <w:pPr>
              <w:jc w:val="both"/>
              <w:rPr>
                <w:b/>
                <w:sz w:val="32"/>
                <w:szCs w:val="32"/>
              </w:rPr>
            </w:pPr>
          </w:p>
        </w:tc>
        <w:tc>
          <w:tcPr>
            <w:tcW w:w="920" w:type="dxa"/>
            <w:shd w:val="clear" w:color="auto" w:fill="1F4E79" w:themeFill="accent1" w:themeFillShade="80"/>
          </w:tcPr>
          <w:p w14:paraId="4A978E69">
            <w:pPr>
              <w:jc w:val="both"/>
              <w:rPr>
                <w:b/>
                <w:sz w:val="32"/>
                <w:szCs w:val="32"/>
              </w:rPr>
            </w:pPr>
          </w:p>
        </w:tc>
        <w:tc>
          <w:tcPr>
            <w:tcW w:w="664" w:type="dxa"/>
            <w:shd w:val="clear" w:color="auto" w:fill="1F4E79" w:themeFill="accent1" w:themeFillShade="80"/>
          </w:tcPr>
          <w:p w14:paraId="6BD07371">
            <w:pPr>
              <w:jc w:val="both"/>
              <w:rPr>
                <w:b/>
                <w:sz w:val="32"/>
                <w:szCs w:val="32"/>
              </w:rPr>
            </w:pPr>
          </w:p>
        </w:tc>
        <w:tc>
          <w:tcPr>
            <w:tcW w:w="1067" w:type="dxa"/>
            <w:shd w:val="clear" w:color="auto" w:fill="1F4E79" w:themeFill="accent1" w:themeFillShade="80"/>
          </w:tcPr>
          <w:p w14:paraId="209936B8">
            <w:pPr>
              <w:jc w:val="both"/>
              <w:rPr>
                <w:b/>
                <w:sz w:val="32"/>
                <w:szCs w:val="32"/>
              </w:rPr>
            </w:pPr>
          </w:p>
        </w:tc>
        <w:tc>
          <w:tcPr>
            <w:tcW w:w="738" w:type="dxa"/>
            <w:shd w:val="clear" w:color="auto" w:fill="1F4E79" w:themeFill="accent1" w:themeFillShade="80"/>
          </w:tcPr>
          <w:p w14:paraId="6E231EC0">
            <w:pPr>
              <w:jc w:val="both"/>
              <w:rPr>
                <w:b/>
                <w:sz w:val="32"/>
                <w:szCs w:val="32"/>
              </w:rPr>
            </w:pPr>
          </w:p>
        </w:tc>
        <w:tc>
          <w:tcPr>
            <w:tcW w:w="718" w:type="dxa"/>
            <w:shd w:val="clear" w:color="auto" w:fill="1F4E79" w:themeFill="accent1" w:themeFillShade="80"/>
          </w:tcPr>
          <w:p w14:paraId="5398BADD">
            <w:pPr>
              <w:jc w:val="both"/>
              <w:rPr>
                <w:b/>
                <w:sz w:val="32"/>
                <w:szCs w:val="32"/>
              </w:rPr>
            </w:pPr>
          </w:p>
        </w:tc>
        <w:tc>
          <w:tcPr>
            <w:tcW w:w="826" w:type="dxa"/>
            <w:shd w:val="clear" w:color="auto" w:fill="1F4E79" w:themeFill="accent1" w:themeFillShade="80"/>
          </w:tcPr>
          <w:p w14:paraId="48DCA03D">
            <w:pPr>
              <w:jc w:val="both"/>
              <w:rPr>
                <w:b/>
                <w:sz w:val="32"/>
                <w:szCs w:val="32"/>
              </w:rPr>
            </w:pPr>
          </w:p>
        </w:tc>
        <w:tc>
          <w:tcPr>
            <w:tcW w:w="719" w:type="dxa"/>
            <w:shd w:val="clear" w:color="auto" w:fill="1F4E79" w:themeFill="accent1" w:themeFillShade="80"/>
          </w:tcPr>
          <w:p w14:paraId="538D4EE7">
            <w:pPr>
              <w:jc w:val="both"/>
              <w:rPr>
                <w:b/>
                <w:sz w:val="32"/>
                <w:szCs w:val="32"/>
              </w:rPr>
            </w:pPr>
          </w:p>
        </w:tc>
        <w:tc>
          <w:tcPr>
            <w:tcW w:w="757" w:type="dxa"/>
            <w:shd w:val="clear" w:color="auto" w:fill="1F4E79" w:themeFill="accent1" w:themeFillShade="80"/>
          </w:tcPr>
          <w:p w14:paraId="735825E6">
            <w:pPr>
              <w:jc w:val="both"/>
              <w:rPr>
                <w:b/>
                <w:sz w:val="32"/>
                <w:szCs w:val="32"/>
              </w:rPr>
            </w:pPr>
          </w:p>
        </w:tc>
        <w:tc>
          <w:tcPr>
            <w:tcW w:w="828" w:type="dxa"/>
            <w:shd w:val="clear" w:color="auto" w:fill="1F4E79" w:themeFill="accent1" w:themeFillShade="80"/>
          </w:tcPr>
          <w:p w14:paraId="5B8609DD">
            <w:pPr>
              <w:jc w:val="both"/>
              <w:rPr>
                <w:b/>
                <w:sz w:val="32"/>
                <w:szCs w:val="32"/>
              </w:rPr>
            </w:pPr>
          </w:p>
        </w:tc>
        <w:tc>
          <w:tcPr>
            <w:tcW w:w="718" w:type="dxa"/>
            <w:shd w:val="clear" w:color="auto" w:fill="1F4E79" w:themeFill="accent1" w:themeFillShade="80"/>
          </w:tcPr>
          <w:p w14:paraId="71FEC4CF">
            <w:pPr>
              <w:jc w:val="both"/>
              <w:rPr>
                <w:b/>
                <w:sz w:val="32"/>
                <w:szCs w:val="32"/>
              </w:rPr>
            </w:pPr>
          </w:p>
        </w:tc>
      </w:tr>
      <w:tr w14:paraId="6947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4C74F813">
            <w:pPr>
              <w:jc w:val="both"/>
              <w:rPr>
                <w:rFonts w:ascii="Calibri" w:hAnsi="Calibri" w:eastAsia="Times New Roman" w:cs="Times New Roman"/>
                <w:color w:val="000000"/>
                <w:lang w:eastAsia="es-MX"/>
              </w:rPr>
            </w:pPr>
            <w:r>
              <w:rPr>
                <w:rFonts w:ascii="Calibri" w:hAnsi="Calibri" w:eastAsia="Times New Roman" w:cs="Times New Roman"/>
                <w:color w:val="000000"/>
                <w:lang w:eastAsia="es-MX"/>
              </w:rPr>
              <w:t>3.3 proceso de disposición documental</w:t>
            </w:r>
          </w:p>
        </w:tc>
        <w:tc>
          <w:tcPr>
            <w:tcW w:w="1129" w:type="dxa"/>
            <w:shd w:val="clear" w:color="auto" w:fill="1F4E79" w:themeFill="accent1" w:themeFillShade="80"/>
          </w:tcPr>
          <w:p w14:paraId="0F225AC8">
            <w:pPr>
              <w:jc w:val="both"/>
              <w:rPr>
                <w:b/>
                <w:sz w:val="32"/>
                <w:szCs w:val="32"/>
              </w:rPr>
            </w:pPr>
          </w:p>
        </w:tc>
        <w:tc>
          <w:tcPr>
            <w:tcW w:w="718" w:type="dxa"/>
            <w:shd w:val="clear" w:color="auto" w:fill="1F4E79" w:themeFill="accent1" w:themeFillShade="80"/>
          </w:tcPr>
          <w:p w14:paraId="0A6F3C38">
            <w:pPr>
              <w:jc w:val="both"/>
              <w:rPr>
                <w:b/>
                <w:sz w:val="32"/>
                <w:szCs w:val="32"/>
              </w:rPr>
            </w:pPr>
          </w:p>
        </w:tc>
        <w:tc>
          <w:tcPr>
            <w:tcW w:w="920" w:type="dxa"/>
            <w:shd w:val="clear" w:color="auto" w:fill="1F4E79" w:themeFill="accent1" w:themeFillShade="80"/>
          </w:tcPr>
          <w:p w14:paraId="2597A285">
            <w:pPr>
              <w:jc w:val="both"/>
              <w:rPr>
                <w:b/>
                <w:sz w:val="32"/>
                <w:szCs w:val="32"/>
              </w:rPr>
            </w:pPr>
          </w:p>
        </w:tc>
        <w:tc>
          <w:tcPr>
            <w:tcW w:w="664" w:type="dxa"/>
            <w:shd w:val="clear" w:color="auto" w:fill="1F4E79" w:themeFill="accent1" w:themeFillShade="80"/>
          </w:tcPr>
          <w:p w14:paraId="1EE97038">
            <w:pPr>
              <w:jc w:val="both"/>
              <w:rPr>
                <w:b/>
                <w:sz w:val="32"/>
                <w:szCs w:val="32"/>
              </w:rPr>
            </w:pPr>
          </w:p>
        </w:tc>
        <w:tc>
          <w:tcPr>
            <w:tcW w:w="1067" w:type="dxa"/>
            <w:shd w:val="clear" w:color="auto" w:fill="1F4E79" w:themeFill="accent1" w:themeFillShade="80"/>
          </w:tcPr>
          <w:p w14:paraId="667CC050">
            <w:pPr>
              <w:jc w:val="both"/>
              <w:rPr>
                <w:b/>
                <w:sz w:val="32"/>
                <w:szCs w:val="32"/>
              </w:rPr>
            </w:pPr>
          </w:p>
        </w:tc>
        <w:tc>
          <w:tcPr>
            <w:tcW w:w="738" w:type="dxa"/>
            <w:shd w:val="clear" w:color="auto" w:fill="1F4E79" w:themeFill="accent1" w:themeFillShade="80"/>
          </w:tcPr>
          <w:p w14:paraId="5DF3B88A">
            <w:pPr>
              <w:jc w:val="both"/>
              <w:rPr>
                <w:b/>
                <w:sz w:val="32"/>
                <w:szCs w:val="32"/>
              </w:rPr>
            </w:pPr>
          </w:p>
        </w:tc>
        <w:tc>
          <w:tcPr>
            <w:tcW w:w="718" w:type="dxa"/>
            <w:shd w:val="clear" w:color="auto" w:fill="1F4E79" w:themeFill="accent1" w:themeFillShade="80"/>
          </w:tcPr>
          <w:p w14:paraId="60925930">
            <w:pPr>
              <w:jc w:val="both"/>
              <w:rPr>
                <w:b/>
                <w:sz w:val="32"/>
                <w:szCs w:val="32"/>
              </w:rPr>
            </w:pPr>
          </w:p>
        </w:tc>
        <w:tc>
          <w:tcPr>
            <w:tcW w:w="826" w:type="dxa"/>
            <w:shd w:val="clear" w:color="auto" w:fill="1F4E79" w:themeFill="accent1" w:themeFillShade="80"/>
          </w:tcPr>
          <w:p w14:paraId="36B2CCE2">
            <w:pPr>
              <w:jc w:val="both"/>
              <w:rPr>
                <w:b/>
                <w:sz w:val="32"/>
                <w:szCs w:val="32"/>
              </w:rPr>
            </w:pPr>
          </w:p>
        </w:tc>
        <w:tc>
          <w:tcPr>
            <w:tcW w:w="719" w:type="dxa"/>
            <w:shd w:val="clear" w:color="auto" w:fill="1F4E79" w:themeFill="accent1" w:themeFillShade="80"/>
          </w:tcPr>
          <w:p w14:paraId="3ECC4C51">
            <w:pPr>
              <w:jc w:val="both"/>
              <w:rPr>
                <w:b/>
                <w:sz w:val="32"/>
                <w:szCs w:val="32"/>
              </w:rPr>
            </w:pPr>
          </w:p>
        </w:tc>
        <w:tc>
          <w:tcPr>
            <w:tcW w:w="757" w:type="dxa"/>
            <w:shd w:val="clear" w:color="auto" w:fill="1F4E79" w:themeFill="accent1" w:themeFillShade="80"/>
          </w:tcPr>
          <w:p w14:paraId="36D864D1">
            <w:pPr>
              <w:jc w:val="both"/>
              <w:rPr>
                <w:b/>
                <w:sz w:val="32"/>
                <w:szCs w:val="32"/>
              </w:rPr>
            </w:pPr>
          </w:p>
        </w:tc>
        <w:tc>
          <w:tcPr>
            <w:tcW w:w="828" w:type="dxa"/>
            <w:shd w:val="clear" w:color="auto" w:fill="1F4E79" w:themeFill="accent1" w:themeFillShade="80"/>
          </w:tcPr>
          <w:p w14:paraId="6A759C5D">
            <w:pPr>
              <w:jc w:val="both"/>
              <w:rPr>
                <w:b/>
                <w:sz w:val="32"/>
                <w:szCs w:val="32"/>
              </w:rPr>
            </w:pPr>
          </w:p>
        </w:tc>
        <w:tc>
          <w:tcPr>
            <w:tcW w:w="718" w:type="dxa"/>
            <w:shd w:val="clear" w:color="auto" w:fill="1F4E79" w:themeFill="accent1" w:themeFillShade="80"/>
          </w:tcPr>
          <w:p w14:paraId="0D623E1C">
            <w:pPr>
              <w:jc w:val="both"/>
              <w:rPr>
                <w:b/>
                <w:sz w:val="32"/>
                <w:szCs w:val="32"/>
              </w:rPr>
            </w:pPr>
          </w:p>
        </w:tc>
      </w:tr>
    </w:tbl>
    <w:p w14:paraId="62E27EA9">
      <w:pPr>
        <w:jc w:val="both"/>
        <w:rPr>
          <w:b/>
          <w:sz w:val="32"/>
          <w:szCs w:val="32"/>
        </w:rPr>
      </w:pPr>
    </w:p>
    <w:p w14:paraId="0D15DAD0">
      <w:pPr>
        <w:spacing w:after="0" w:line="240" w:lineRule="auto"/>
        <w:rPr>
          <w:rFonts w:ascii="Calibri" w:hAnsi="Calibri" w:eastAsia="Times New Roman" w:cs="Times New Roman"/>
          <w:color w:val="000000"/>
          <w:lang w:eastAsia="es-MX"/>
        </w:rPr>
        <w:sectPr>
          <w:pgSz w:w="15840" w:h="12240" w:orient="landscape"/>
          <w:pgMar w:top="1418" w:right="1701" w:bottom="1418" w:left="1701" w:header="709" w:footer="709" w:gutter="0"/>
          <w:cols w:space="708" w:num="1"/>
          <w:docGrid w:linePitch="360" w:charSpace="0"/>
        </w:sectPr>
      </w:pPr>
    </w:p>
    <w:p w14:paraId="32693D89">
      <w:pPr>
        <w:jc w:val="both"/>
        <w:rPr>
          <w:b/>
          <w:sz w:val="32"/>
          <w:szCs w:val="32"/>
        </w:rPr>
      </w:pPr>
    </w:p>
    <w:p w14:paraId="29D97346">
      <w:pPr>
        <w:jc w:val="both"/>
        <w:rPr>
          <w:b/>
          <w:sz w:val="32"/>
          <w:szCs w:val="32"/>
        </w:rPr>
      </w:pPr>
      <w:r>
        <w:rPr>
          <w:b/>
          <w:sz w:val="32"/>
          <w:szCs w:val="32"/>
        </w:rPr>
        <w:t>4.5 Costos</w:t>
      </w:r>
    </w:p>
    <w:p w14:paraId="19137297">
      <w:pPr>
        <w:jc w:val="both"/>
      </w:pPr>
      <w:r>
        <w:t>En lo que respecta de las actividades del Área Coordinadora de Archivos, se trabaja apegado a los lineamientos Generales de racionalidad Austeridad y Disciplina, presupuestaria del Comité Municipal de Agua Potable y Alcantarillado de Salamanca Gto; por que los costos de los recursos humanos y materiales están considerados en el presupuesto del organismo, así mismo todo material que está en perfectas condiciones se reutiliza y se les proporciona a las áreas generadoras de la información que lo necesiten atendiendo a dichas políticas de austeridad.</w:t>
      </w:r>
    </w:p>
    <w:p w14:paraId="4BAF35C2">
      <w:pPr>
        <w:jc w:val="both"/>
        <w:rPr>
          <w:b/>
          <w:sz w:val="32"/>
          <w:szCs w:val="32"/>
        </w:rPr>
      </w:pPr>
      <w:r>
        <w:rPr>
          <w:b/>
          <w:sz w:val="32"/>
          <w:szCs w:val="32"/>
        </w:rPr>
        <w:t>5.-Comunicaciones</w:t>
      </w:r>
    </w:p>
    <w:p w14:paraId="73394149">
      <w:pPr>
        <w:jc w:val="both"/>
      </w:pPr>
      <w:r>
        <w:t>Las comunicaciones entre el Archivo por medio de la Coordinadora de Archivos de este Sujeto Obligado y los Responsables de Archivo de Tramite serán a través de oficios, correos electrónicos, y reuniones de trabajo así como sus excepciones por vía telefónica o whats app según sea la urgencia y premura del asunto.</w:t>
      </w:r>
    </w:p>
    <w:p w14:paraId="0FBAA822">
      <w:pPr>
        <w:jc w:val="both"/>
        <w:rPr>
          <w:b/>
          <w:sz w:val="32"/>
          <w:szCs w:val="32"/>
        </w:rPr>
      </w:pPr>
      <w:r>
        <w:rPr>
          <w:b/>
          <w:sz w:val="32"/>
          <w:szCs w:val="32"/>
        </w:rPr>
        <w:t>5.1 Reporte de avances de actividades</w:t>
      </w:r>
    </w:p>
    <w:p w14:paraId="0FBB83EB">
      <w:pPr>
        <w:jc w:val="both"/>
      </w:pPr>
      <w:r>
        <w:t>Se solicitaran de forma bimestral, a fin de corroborar que los responsables de Archivo de Trámite y el personal del Archivo de Concentración, apliquen correctamente las instrucciones que se giraran para el cumplimiento del presente programa.</w:t>
      </w:r>
    </w:p>
    <w:p w14:paraId="00158E0C">
      <w:pPr>
        <w:jc w:val="both"/>
        <w:rPr>
          <w:b/>
          <w:sz w:val="32"/>
          <w:szCs w:val="32"/>
        </w:rPr>
      </w:pPr>
      <w:r>
        <w:rPr>
          <w:b/>
          <w:sz w:val="32"/>
          <w:szCs w:val="32"/>
        </w:rPr>
        <w:t>5.2 Control de Cambios</w:t>
      </w:r>
    </w:p>
    <w:p w14:paraId="05D9B8D6">
      <w:pPr>
        <w:jc w:val="both"/>
      </w:pPr>
      <w:r>
        <w:t>Al término de cada bimestre se verificara si es necesario hacer algún cambio en el presente programa, a fin de ajustar el cronograma o cualquier otro recurso necesario, para estar en la posibilidad de alcanzar los objetivos.</w:t>
      </w:r>
    </w:p>
    <w:p w14:paraId="5C1E0BFA">
      <w:pPr>
        <w:jc w:val="both"/>
        <w:rPr>
          <w:b/>
          <w:sz w:val="32"/>
          <w:szCs w:val="32"/>
        </w:rPr>
      </w:pPr>
      <w:r>
        <w:rPr>
          <w:b/>
          <w:sz w:val="32"/>
          <w:szCs w:val="32"/>
        </w:rPr>
        <w:t>5.3 Administración de riesgos</w:t>
      </w:r>
    </w:p>
    <w:p w14:paraId="09972FDA">
      <w:pPr>
        <w:jc w:val="both"/>
      </w:pPr>
      <w:r>
        <w:t>Existen riesgos que en caso de materializarse, podrían evitar que se alcancen los objetivos planeados en este  PADA 202</w:t>
      </w:r>
      <w:r>
        <w:rPr>
          <w:rFonts w:hint="default"/>
          <w:lang w:val="es-MX"/>
        </w:rPr>
        <w:t>6</w:t>
      </w:r>
      <w:r>
        <w:t>, por tal motivo es de suma importancia identificarlos y administrarlos adecuadamente a fin de disminuir la probabilidad de que ocurran.</w:t>
      </w:r>
    </w:p>
    <w:p w14:paraId="12F9BF59">
      <w:pPr>
        <w:jc w:val="both"/>
      </w:pPr>
    </w:p>
    <w:p w14:paraId="7E411A33">
      <w:pPr>
        <w:jc w:val="both"/>
      </w:pPr>
    </w:p>
    <w:p w14:paraId="32F5A126">
      <w:pPr>
        <w:jc w:val="both"/>
      </w:pPr>
    </w:p>
    <w:p w14:paraId="0094FAF9">
      <w:pPr>
        <w:jc w:val="both"/>
      </w:pPr>
    </w:p>
    <w:p w14:paraId="43AEB140">
      <w:pPr>
        <w:jc w:val="both"/>
      </w:pPr>
    </w:p>
    <w:p w14:paraId="39ACE1F7">
      <w:pPr>
        <w:jc w:val="both"/>
      </w:pPr>
    </w:p>
    <w:p w14:paraId="2F6DAAF2">
      <w:pPr>
        <w:jc w:val="both"/>
      </w:pPr>
    </w:p>
    <w:p w14:paraId="73B43666">
      <w:pPr>
        <w:jc w:val="both"/>
      </w:pPr>
      <w:r>
        <w:t>En cumplimiento con el Artículo 25, 26 de la ley de Archivos para el Estado de Guanajuato, se elabora el presente Programa Anual de Desarrollo Archivístico, (PADA) 202</w:t>
      </w:r>
      <w:r>
        <w:rPr>
          <w:rFonts w:hint="default"/>
          <w:lang w:val="es-MX"/>
        </w:rPr>
        <w:t>6</w:t>
      </w:r>
      <w:r>
        <w:t>, Y cuenta con el visto bueno del Licenciado ULISES BANDA CORONADO Presidente del Consejo Directivo del Comité Municipal de Agua potable y Alcantarillado de Salamanca Guanajuato.</w:t>
      </w:r>
    </w:p>
    <w:p w14:paraId="46775AFC">
      <w:pPr>
        <w:jc w:val="both"/>
      </w:pPr>
    </w:p>
    <w:p w14:paraId="7B076D79">
      <w:pPr>
        <w:tabs>
          <w:tab w:val="left" w:pos="1770"/>
          <w:tab w:val="left" w:pos="7125"/>
        </w:tabs>
        <w:jc w:val="both"/>
      </w:pPr>
      <w:r>
        <w:tab/>
      </w:r>
      <w:r>
        <w:t>ELABORO</w:t>
      </w:r>
      <w:r>
        <w:tab/>
      </w:r>
      <w:r>
        <w:t>VO.B0</w:t>
      </w:r>
    </w:p>
    <w:p w14:paraId="2CDD452E">
      <w:pPr>
        <w:jc w:val="both"/>
      </w:pPr>
    </w:p>
    <w:p w14:paraId="44FF7885">
      <w:pPr>
        <w:jc w:val="both"/>
      </w:pPr>
    </w:p>
    <w:p w14:paraId="238AA998">
      <w:pPr>
        <w:jc w:val="both"/>
      </w:pPr>
      <w:r>
        <w:t>____________________________________                                ___________________________________</w:t>
      </w:r>
    </w:p>
    <w:p w14:paraId="1D6EF2FC">
      <w:pPr>
        <w:spacing w:after="0" w:line="240" w:lineRule="auto"/>
        <w:jc w:val="both"/>
        <w:rPr>
          <w:b/>
        </w:rPr>
      </w:pPr>
      <w:r>
        <w:t xml:space="preserve">           </w:t>
      </w:r>
      <w:r>
        <w:rPr>
          <w:b/>
        </w:rPr>
        <w:t>LIC.PAOLA GOMEZ DELGADO                                                          LIC.ULISES BANDA CORONADO</w:t>
      </w:r>
    </w:p>
    <w:p w14:paraId="7CC05E77">
      <w:pPr>
        <w:spacing w:after="0" w:line="240" w:lineRule="auto"/>
        <w:jc w:val="both"/>
        <w:rPr>
          <w:b/>
        </w:rPr>
      </w:pPr>
      <w:r>
        <w:rPr>
          <w:b/>
        </w:rPr>
        <w:t>COORDINADORA DE ARCHIVOS DEL CMAPAS                                  PRESIDENTE DEL CONSEJO DIRECTIVO</w:t>
      </w:r>
    </w:p>
    <w:p w14:paraId="7C0BC15A">
      <w:pPr>
        <w:spacing w:after="0" w:line="240" w:lineRule="auto"/>
        <w:jc w:val="both"/>
        <w:rPr>
          <w:b/>
        </w:rPr>
      </w:pPr>
      <w:r>
        <w:rPr>
          <w:b/>
        </w:rPr>
        <w:t xml:space="preserve">                                                                                                                                           DEL CMAPAS </w:t>
      </w:r>
    </w:p>
    <w:p w14:paraId="7F63A68E">
      <w:pPr>
        <w:jc w:val="both"/>
      </w:pPr>
    </w:p>
    <w:p w14:paraId="16B2C515">
      <w:pPr>
        <w:jc w:val="both"/>
        <w:rPr>
          <w:b/>
          <w:sz w:val="32"/>
          <w:szCs w:val="32"/>
        </w:rPr>
      </w:pPr>
    </w:p>
    <w:p w14:paraId="31B5EE2A">
      <w:pPr>
        <w:jc w:val="both"/>
        <w:rPr>
          <w:b/>
          <w:sz w:val="32"/>
          <w:szCs w:val="32"/>
        </w:rPr>
      </w:pPr>
    </w:p>
    <w:sectPr>
      <w:pgSz w:w="12240" w:h="15840"/>
      <w:pgMar w:top="1701" w:right="1418" w:bottom="170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012378"/>
      <w:docPartObj>
        <w:docPartGallery w:val="autotext"/>
      </w:docPartObj>
    </w:sdtPr>
    <w:sdtContent>
      <w:p w14:paraId="00E39C98">
        <w:pPr>
          <w:pStyle w:val="9"/>
          <w:jc w:val="center"/>
        </w:pPr>
        <w:r>
          <w:fldChar w:fldCharType="begin"/>
        </w:r>
        <w:r>
          <w:instrText xml:space="preserve">PAGE   \* MERGEFORMAT</w:instrText>
        </w:r>
        <w:r>
          <w:fldChar w:fldCharType="separate"/>
        </w:r>
        <w:r>
          <w:rPr>
            <w:lang w:val="es-ES"/>
          </w:rPr>
          <w:t>12</w:t>
        </w:r>
        <w:r>
          <w:fldChar w:fldCharType="end"/>
        </w:r>
      </w:p>
    </w:sdtContent>
  </w:sdt>
  <w:p w14:paraId="46C77055">
    <w:pPr>
      <w:pStyle w:val="9"/>
      <w:tabs>
        <w:tab w:val="center" w:pos="4702"/>
        <w:tab w:val="clear" w:pos="4419"/>
        <w:tab w:val="clear" w:pos="88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78D5">
    <w:pPr>
      <w:pStyle w:val="8"/>
    </w:pPr>
    <w:r>
      <w:rPr>
        <w:lang w:eastAsia="es-MX"/>
      </w:rPr>
      <w:drawing>
        <wp:anchor distT="0" distB="0" distL="114300" distR="114300" simplePos="0" relativeHeight="251659264" behindDoc="0" locked="0" layoutInCell="1" allowOverlap="1">
          <wp:simplePos x="0" y="0"/>
          <wp:positionH relativeFrom="margin">
            <wp:posOffset>0</wp:posOffset>
          </wp:positionH>
          <wp:positionV relativeFrom="paragraph">
            <wp:posOffset>170815</wp:posOffset>
          </wp:positionV>
          <wp:extent cx="6381750" cy="857250"/>
          <wp:effectExtent l="0" t="0" r="0" b="0"/>
          <wp:wrapSquare wrapText="bothSides"/>
          <wp:docPr id="6" name="Imagen 6"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aux-cs\Desktop\5.png"/>
                  <pic:cNvPicPr>
                    <a:picLocks noChangeAspect="1" noChangeArrowheads="1"/>
                  </pic:cNvPicPr>
                </pic:nvPicPr>
                <pic:blipFill>
                  <a:blip r:embed="rId1" cstate="print">
                    <a:extLst>
                      <a:ext uri="{28A0092B-C50C-407E-A947-70E740481C1C}">
                        <a14:useLocalDpi xmlns:a14="http://schemas.microsoft.com/office/drawing/2010/main" val="0"/>
                      </a:ext>
                    </a:extLst>
                  </a:blip>
                  <a:srcRect t="14194" b="14803"/>
                  <a:stretch>
                    <a:fillRect/>
                  </a:stretch>
                </pic:blipFill>
                <pic:spPr>
                  <a:xfrm>
                    <a:off x="0" y="0"/>
                    <a:ext cx="6381750" cy="8572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43"/>
    <w:rsid w:val="000E2D7D"/>
    <w:rsid w:val="000F7643"/>
    <w:rsid w:val="00101D4E"/>
    <w:rsid w:val="00162E4E"/>
    <w:rsid w:val="00277861"/>
    <w:rsid w:val="00345676"/>
    <w:rsid w:val="0036161D"/>
    <w:rsid w:val="003D7243"/>
    <w:rsid w:val="003E7FA2"/>
    <w:rsid w:val="00454EA8"/>
    <w:rsid w:val="00472A05"/>
    <w:rsid w:val="004C58F3"/>
    <w:rsid w:val="004D4950"/>
    <w:rsid w:val="004F7278"/>
    <w:rsid w:val="005A2565"/>
    <w:rsid w:val="006E0041"/>
    <w:rsid w:val="00897D07"/>
    <w:rsid w:val="008A1E02"/>
    <w:rsid w:val="00904CE1"/>
    <w:rsid w:val="00A31DB1"/>
    <w:rsid w:val="00AA3851"/>
    <w:rsid w:val="00B05A43"/>
    <w:rsid w:val="00B1056E"/>
    <w:rsid w:val="00B2238B"/>
    <w:rsid w:val="00B95A1A"/>
    <w:rsid w:val="00C24ABE"/>
    <w:rsid w:val="00C435CD"/>
    <w:rsid w:val="00C676A1"/>
    <w:rsid w:val="00C73C86"/>
    <w:rsid w:val="00C758A1"/>
    <w:rsid w:val="00D0288A"/>
    <w:rsid w:val="00D43BDA"/>
    <w:rsid w:val="00DB3BE8"/>
    <w:rsid w:val="00E851A3"/>
    <w:rsid w:val="00E852D8"/>
    <w:rsid w:val="00EF1B55"/>
    <w:rsid w:val="00F2708A"/>
    <w:rsid w:val="00F44318"/>
    <w:rsid w:val="00F52918"/>
    <w:rsid w:val="00F80215"/>
    <w:rsid w:val="02EC56A4"/>
    <w:rsid w:val="43330A3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s-MX"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subject"/>
    <w:basedOn w:val="6"/>
    <w:next w:val="6"/>
    <w:link w:val="14"/>
    <w:semiHidden/>
    <w:unhideWhenUsed/>
    <w:qFormat/>
    <w:uiPriority w:val="99"/>
    <w:rPr>
      <w:b/>
      <w:bCs/>
    </w:rPr>
  </w:style>
  <w:style w:type="paragraph" w:styleId="6">
    <w:name w:val="annotation text"/>
    <w:basedOn w:val="1"/>
    <w:link w:val="13"/>
    <w:semiHidden/>
    <w:unhideWhenUsed/>
    <w:qFormat/>
    <w:uiPriority w:val="99"/>
    <w:pPr>
      <w:spacing w:line="240" w:lineRule="auto"/>
    </w:pPr>
    <w:rPr>
      <w:sz w:val="20"/>
      <w:szCs w:val="20"/>
    </w:rPr>
  </w:style>
  <w:style w:type="paragraph" w:styleId="7">
    <w:name w:val="Balloon Text"/>
    <w:basedOn w:val="1"/>
    <w:link w:val="15"/>
    <w:semiHidden/>
    <w:unhideWhenUsed/>
    <w:qFormat/>
    <w:uiPriority w:val="99"/>
    <w:pPr>
      <w:spacing w:after="0" w:line="240" w:lineRule="auto"/>
    </w:pPr>
    <w:rPr>
      <w:rFonts w:ascii="Segoe UI" w:hAnsi="Segoe UI" w:cs="Segoe UI"/>
      <w:sz w:val="18"/>
      <w:szCs w:val="18"/>
    </w:rPr>
  </w:style>
  <w:style w:type="paragraph" w:styleId="8">
    <w:name w:val="header"/>
    <w:basedOn w:val="1"/>
    <w:link w:val="11"/>
    <w:unhideWhenUsed/>
    <w:qFormat/>
    <w:uiPriority w:val="99"/>
    <w:pPr>
      <w:tabs>
        <w:tab w:val="center" w:pos="4419"/>
        <w:tab w:val="right" w:pos="8838"/>
      </w:tabs>
      <w:spacing w:after="0" w:line="240" w:lineRule="auto"/>
    </w:pPr>
  </w:style>
  <w:style w:type="paragraph" w:styleId="9">
    <w:name w:val="footer"/>
    <w:basedOn w:val="1"/>
    <w:link w:val="12"/>
    <w:unhideWhenUsed/>
    <w:qFormat/>
    <w:uiPriority w:val="99"/>
    <w:pPr>
      <w:tabs>
        <w:tab w:val="center" w:pos="4419"/>
        <w:tab w:val="right" w:pos="8838"/>
      </w:tabs>
      <w:spacing w:after="0" w:line="240" w:lineRule="auto"/>
    </w:pPr>
  </w:style>
  <w:style w:type="table" w:styleId="10">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Encabezado Car"/>
    <w:basedOn w:val="2"/>
    <w:link w:val="8"/>
    <w:qFormat/>
    <w:uiPriority w:val="99"/>
  </w:style>
  <w:style w:type="character" w:customStyle="1" w:styleId="12">
    <w:name w:val="Pie de página Car"/>
    <w:basedOn w:val="2"/>
    <w:link w:val="9"/>
    <w:qFormat/>
    <w:uiPriority w:val="99"/>
  </w:style>
  <w:style w:type="character" w:customStyle="1" w:styleId="13">
    <w:name w:val="Texto comentario Car"/>
    <w:basedOn w:val="2"/>
    <w:link w:val="6"/>
    <w:semiHidden/>
    <w:qFormat/>
    <w:uiPriority w:val="99"/>
    <w:rPr>
      <w:sz w:val="20"/>
      <w:szCs w:val="20"/>
    </w:rPr>
  </w:style>
  <w:style w:type="character" w:customStyle="1" w:styleId="14">
    <w:name w:val="Asunto del comentario Car"/>
    <w:basedOn w:val="13"/>
    <w:link w:val="5"/>
    <w:semiHidden/>
    <w:qFormat/>
    <w:uiPriority w:val="99"/>
    <w:rPr>
      <w:b/>
      <w:bCs/>
      <w:sz w:val="20"/>
      <w:szCs w:val="20"/>
    </w:rPr>
  </w:style>
  <w:style w:type="character" w:customStyle="1" w:styleId="15">
    <w:name w:val="Texto de globo Car"/>
    <w:basedOn w:val="2"/>
    <w:link w:val="7"/>
    <w:semiHidden/>
    <w:qFormat/>
    <w:uiPriority w:val="99"/>
    <w:rPr>
      <w:rFonts w:ascii="Segoe UI" w:hAnsi="Segoe UI" w:cs="Segoe UI"/>
      <w:sz w:val="18"/>
      <w:szCs w:val="18"/>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1895</Words>
  <Characters>10423</Characters>
  <Lines>86</Lines>
  <Paragraphs>24</Paragraphs>
  <TotalTime>481</TotalTime>
  <ScaleCrop>false</ScaleCrop>
  <LinksUpToDate>false</LinksUpToDate>
  <CharactersWithSpaces>12294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2025-01-31T14:09:00Z</dcterms:created>
  <dc:creator>Archivo</dc:creator>
  <cp:lastModifiedBy>Paola Gómez Delgado</cp:lastModifiedBy>
  <cp:lastPrinted>2025-01-31T20:43:00Z</cp:lastPrinted>
  <dcterms:modified xsi:type="dcterms:W3CDTF">2026-03-03T17:13:14Z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725822AC53BD4DCEB5C896E4294D6A61_12</vt:lpwstr>
  </property>
</Properties>
</file>